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  <w:r/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495"/>
        <w:gridCol w:w="4860"/>
      </w:tblGrid>
      <w:tr>
        <w:tblPrEx/>
        <w:trPr>
          <w:jc w:val="center"/>
        </w:trPr>
        <w:tc>
          <w:tcPr>
            <w:tcW w:w="4495" w:type="dxa"/>
            <w:textDirection w:val="lrTb"/>
            <w:noWrap w:val="false"/>
          </w:tcPr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  <w:p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  <w:tc>
          <w:tcPr>
            <w:tcW w:w="4860" w:type="dxa"/>
            <w:textDirection w:val="lrTb"/>
            <w:noWrap w:val="false"/>
          </w:tcPr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jc w:val="right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1204"/>
              <w:rPr>
                <w:b/>
              </w:rPr>
            </w:pPr>
            <w:r>
              <w:rPr>
                <w:b/>
              </w:rPr>
              <w:t xml:space="preserve">УТВЕРЖДАЮ: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  <w:t xml:space="preserve">З</w:t>
            </w:r>
            <w:r>
              <w:rPr>
                <w:color w:val="000000"/>
              </w:rPr>
              <w:t xml:space="preserve">аместител</w:t>
            </w:r>
            <w:r>
              <w:rPr>
                <w:color w:val="000000"/>
              </w:rPr>
              <w:t xml:space="preserve">ь</w:t>
            </w:r>
            <w:r>
              <w:rPr>
                <w:color w:val="000000"/>
              </w:rPr>
              <w:t xml:space="preserve"> директора –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  <w:t xml:space="preserve">главн</w:t>
            </w:r>
            <w:r>
              <w:rPr>
                <w:color w:val="000000"/>
              </w:rPr>
              <w:t xml:space="preserve">ый</w:t>
            </w:r>
            <w:r>
              <w:rPr>
                <w:color w:val="000000"/>
              </w:rPr>
              <w:t xml:space="preserve"> инженер филиала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  <w:t xml:space="preserve">ПАО «</w:t>
            </w:r>
            <w:r>
              <w:rPr>
                <w:color w:val="000000"/>
              </w:rPr>
              <w:t xml:space="preserve">Россети</w:t>
            </w:r>
            <w:r>
              <w:rPr>
                <w:color w:val="000000"/>
              </w:rPr>
              <w:t xml:space="preserve"> Урал» -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  <w:t xml:space="preserve">«</w:t>
            </w:r>
            <w:r>
              <w:rPr>
                <w:color w:val="000000"/>
              </w:rPr>
              <w:t xml:space="preserve">Свердловэнерго</w:t>
            </w:r>
            <w:r>
              <w:rPr>
                <w:color w:val="000000"/>
              </w:rPr>
              <w:t xml:space="preserve">»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  <w:rPr>
                <w:color w:val="000000"/>
              </w:rPr>
            </w:pPr>
            <w:r>
              <w:rPr>
                <w:color w:val="000000"/>
              </w:rPr>
              <w:t xml:space="preserve">_______</w:t>
            </w:r>
            <w:r>
              <w:rPr>
                <w:color w:val="000000"/>
              </w:rPr>
              <w:t xml:space="preserve">____</w:t>
            </w:r>
            <w:r>
              <w:rPr>
                <w:color w:val="000000"/>
              </w:rPr>
              <w:t xml:space="preserve">___Е.А. Мальцев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  <w:p>
            <w:pPr>
              <w:ind w:left="1204"/>
            </w:pPr>
            <w:r>
              <w:rPr>
                <w:color w:val="000000"/>
              </w:rPr>
              <w:t xml:space="preserve">« </w:t>
            </w:r>
            <w:r>
              <w:rPr>
                <w:color w:val="000000"/>
              </w:rPr>
              <w:t xml:space="preserve">_</w:t>
            </w:r>
            <w:r>
              <w:rPr>
                <w:color w:val="000000"/>
              </w:rPr>
              <w:t xml:space="preserve">___</w:t>
            </w:r>
            <w:r>
              <w:rPr>
                <w:color w:val="000000"/>
              </w:rPr>
              <w:t xml:space="preserve"> »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____________ 20</w:t>
            </w:r>
            <w:r>
              <w:rPr>
                <w:color w:val="000000"/>
              </w:rPr>
              <w:t xml:space="preserve">26 </w:t>
            </w:r>
            <w:r>
              <w:rPr>
                <w:color w:val="000000"/>
              </w:rPr>
              <w:t xml:space="preserve">г.</w:t>
            </w:r>
            <w:r/>
          </w:p>
          <w:p>
            <w:pPr>
              <w:jc w:val="right"/>
            </w:pPr>
            <w:r/>
            <w:r/>
          </w:p>
        </w:tc>
      </w:tr>
    </w:tbl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51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</w:t>
      </w:r>
      <w:r>
        <w:rPr>
          <w:i w:val="0"/>
          <w:sz w:val="28"/>
          <w:szCs w:val="28"/>
        </w:rPr>
        <w:t xml:space="preserve">ЕХНИЧЕСКОЕ 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63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3"/>
        <w:jc w:val="center"/>
        <w:rPr>
          <w:b/>
        </w:rPr>
      </w:pPr>
      <w:r>
        <w:rPr>
          <w:b/>
        </w:rPr>
        <w:t xml:space="preserve">для организации и проведения </w:t>
      </w:r>
      <w:r>
        <w:rPr>
          <w:b/>
        </w:rPr>
        <w:t xml:space="preserve">сравнения цен в электронной форме</w:t>
      </w:r>
      <w:r>
        <w:rPr>
          <w:b/>
        </w:rPr>
        <w:t xml:space="preserve">,</w:t>
      </w:r>
      <w:r>
        <w:rPr>
          <w:b/>
        </w:rPr>
        <w:t xml:space="preserve"> участниками которого могут быть </w:t>
      </w:r>
      <w:r>
        <w:rPr>
          <w:b/>
        </w:rPr>
        <w:t xml:space="preserve">любые лица</w:t>
      </w:r>
      <w:r>
        <w:rPr>
          <w:b/>
        </w:rPr>
      </w:r>
      <w:r>
        <w:rPr>
          <w:b/>
        </w:rPr>
      </w:r>
    </w:p>
    <w:p>
      <w:pPr>
        <w:pStyle w:val="963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3"/>
        <w:jc w:val="center"/>
        <w:rPr>
          <w:b/>
        </w:rPr>
      </w:pPr>
      <w:r>
        <w:rPr>
          <w:b/>
        </w:rPr>
        <w:t xml:space="preserve">на пр</w:t>
      </w:r>
      <w:r>
        <w:rPr>
          <w:b/>
        </w:rPr>
        <w:t xml:space="preserve">аво заключения договора </w:t>
      </w:r>
      <w:r>
        <w:rPr>
          <w:b/>
        </w:rPr>
        <w:t xml:space="preserve">на </w:t>
      </w:r>
      <w:r>
        <w:rPr>
          <w:b/>
        </w:rPr>
        <w:t xml:space="preserve">Проведение исследований подземных вод из сква</w:t>
      </w:r>
      <w:r>
        <w:rPr>
          <w:b/>
        </w:rPr>
        <w:t xml:space="preserve">жин технического водоснабжения </w:t>
      </w:r>
      <w:r>
        <w:rPr>
          <w:b/>
        </w:rPr>
        <w:t xml:space="preserve">ПО З</w:t>
      </w:r>
      <w:r>
        <w:rPr>
          <w:b/>
        </w:rPr>
        <w:t xml:space="preserve">ападные </w:t>
      </w:r>
      <w:r>
        <w:rPr>
          <w:b/>
        </w:rPr>
        <w:t xml:space="preserve">ЭС</w:t>
      </w:r>
      <w:r>
        <w:rPr>
          <w:b/>
        </w:rPr>
      </w:r>
      <w:r>
        <w:rPr>
          <w:b/>
        </w:rPr>
      </w:r>
    </w:p>
    <w:p>
      <w:pPr>
        <w:pStyle w:val="963"/>
      </w:pPr>
      <w:r/>
      <w:r/>
    </w:p>
    <w:p>
      <w:pPr>
        <w:pStyle w:val="963"/>
      </w:pPr>
      <w:r/>
      <w:r/>
    </w:p>
    <w:p>
      <w:pPr>
        <w:pStyle w:val="963"/>
      </w:pPr>
      <w:r/>
      <w:r/>
    </w:p>
    <w:p>
      <w:pPr>
        <w:pStyle w:val="963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</w:rPr>
        <w:t xml:space="preserve">г. </w:t>
      </w:r>
      <w:r>
        <w:rPr>
          <w:b/>
        </w:rPr>
        <w:t xml:space="preserve">Екатеринбург</w:t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  <w:t xml:space="preserve">2026</w:t>
      </w:r>
      <w:r>
        <w:rPr>
          <w:b/>
        </w:rPr>
        <w:t xml:space="preserve"> год</w:t>
      </w:r>
      <w:r>
        <w:rPr>
          <w:b/>
        </w:rPr>
      </w:r>
      <w:r>
        <w:rPr>
          <w:b/>
        </w:rPr>
      </w:r>
    </w:p>
    <w:p>
      <w:pPr>
        <w:pStyle w:val="951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</w:rPr>
        <w:t xml:space="preserve">сравнения цен</w:t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</w:t>
      </w:r>
      <w:r>
        <w:rPr>
          <w:i w:val="0"/>
          <w:sz w:val="24"/>
          <w:szCs w:val="24"/>
        </w:rPr>
        <w:t xml:space="preserve">любые лица</w:t>
      </w:r>
      <w:r>
        <w:rPr>
          <w:i w:val="0"/>
          <w:sz w:val="24"/>
          <w:szCs w:val="24"/>
        </w:rPr>
        <w:t xml:space="preserve">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pStyle w:val="963"/>
        <w:jc w:val="both"/>
        <w:tabs>
          <w:tab w:val="left" w:pos="709" w:leader="none"/>
        </w:tabs>
        <w:rPr>
          <w:b/>
        </w:rPr>
      </w:pPr>
      <w:r>
        <w:t xml:space="preserve">Право заключения до</w:t>
      </w:r>
      <w:r>
        <w:t xml:space="preserve">говора </w:t>
      </w:r>
      <w:r>
        <w:t xml:space="preserve">на </w:t>
      </w:r>
      <w:r>
        <w:t xml:space="preserve">оказание услуг по </w:t>
      </w:r>
      <w:r>
        <w:t xml:space="preserve">Проведени</w:t>
      </w:r>
      <w:r>
        <w:t xml:space="preserve">ю</w:t>
      </w:r>
      <w:r>
        <w:t xml:space="preserve"> исследований подземных вод из сква</w:t>
      </w:r>
      <w:r>
        <w:t xml:space="preserve">жин технического водоснабжения </w:t>
      </w:r>
      <w:r>
        <w:t xml:space="preserve">ПО ЗЭС</w:t>
      </w:r>
      <w:r>
        <w:t xml:space="preserve">.</w:t>
      </w:r>
      <w:r>
        <w:t xml:space="preserve"> 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spacing w:line="274" w:lineRule="auto"/>
        <w:tabs>
          <w:tab w:val="left" w:pos="709" w:leader="none"/>
        </w:tabs>
      </w:pPr>
      <w:r>
        <w:t xml:space="preserve">План закупок 2026г. З</w:t>
      </w:r>
      <w:r>
        <w:t xml:space="preserve">акупка № 58201, лот № 58201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Свердловэнерго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p>
      <w:pPr>
        <w:jc w:val="both"/>
        <w:tabs>
          <w:tab w:val="left" w:pos="709" w:leader="none"/>
        </w:tabs>
        <w:rPr>
          <w:rFonts w:eastAsia="MS Mincho"/>
          <w:color w:val="ff0000"/>
          <w:lang w:eastAsia="ja-JP"/>
        </w:rPr>
      </w:pP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  <w:r>
        <w:rPr>
          <w:rFonts w:eastAsia="MS Mincho"/>
          <w:color w:val="ff0000"/>
          <w:lang w:eastAsia="ja-JP"/>
        </w:rPr>
      </w:r>
    </w:p>
    <w:tbl>
      <w:tblPr>
        <w:tblW w:w="97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29"/>
        <w:gridCol w:w="4836"/>
        <w:gridCol w:w="4111"/>
      </w:tblGrid>
      <w:tr>
        <w:tblPrEx/>
        <w:trPr/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№ п/п</w:t>
            </w:r>
            <w:r/>
          </w:p>
        </w:tc>
        <w:tc>
          <w:tcPr>
            <w:tcW w:w="4836" w:type="dxa"/>
            <w:vAlign w:val="center"/>
            <w:textDirection w:val="lrTb"/>
            <w:noWrap w:val="false"/>
          </w:tcPr>
          <w:p>
            <w:r>
              <w:t xml:space="preserve">Наименование подразделений </w:t>
            </w:r>
            <w:r/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Адреса </w:t>
            </w:r>
            <w:r>
              <w:t xml:space="preserve">промплощадок</w:t>
            </w:r>
            <w:r/>
          </w:p>
        </w:tc>
      </w:tr>
      <w:tr>
        <w:tblPrEx/>
        <w:trPr>
          <w:trHeight w:val="210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1007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836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Артинский</w:t>
            </w:r>
            <w:r>
              <w:rPr>
                <w:sz w:val="26"/>
                <w:szCs w:val="26"/>
              </w:rPr>
              <w:t xml:space="preserve"> РЭC ПО ЗЭС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0"/>
              </w:numPr>
              <w:jc w:val="center"/>
              <w:spacing w:before="0" w:beforeAutospacing="0" w:after="0" w:afterAutospacing="0"/>
              <w:rPr>
                <w:sz w:val="24"/>
              </w:rPr>
            </w:pPr>
            <w:r>
              <w:rPr>
                <w:sz w:val="24"/>
              </w:rPr>
              <w:t xml:space="preserve">Свердловская обл., </w:t>
            </w:r>
            <w:r>
              <w:rPr>
                <w:sz w:val="24"/>
              </w:rPr>
              <w:t xml:space="preserve">Артинский</w:t>
            </w:r>
            <w:r>
              <w:rPr>
                <w:sz w:val="24"/>
              </w:rPr>
              <w:t xml:space="preserve"> р-н, с. </w:t>
            </w:r>
            <w:r>
              <w:rPr>
                <w:sz w:val="24"/>
              </w:rPr>
              <w:t xml:space="preserve">Манчаж</w:t>
            </w:r>
            <w:r>
              <w:rPr>
                <w:sz w:val="24"/>
              </w:rPr>
              <w:t xml:space="preserve">, </w:t>
            </w:r>
            <w:r>
              <w:rPr>
                <w:sz w:val="24"/>
              </w:rPr>
              <w:t xml:space="preserve">мкрн</w:t>
            </w:r>
            <w:r>
              <w:rPr>
                <w:sz w:val="24"/>
              </w:rPr>
              <w:t xml:space="preserve">. Подстанция,1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10"/>
        </w:trPr>
        <w:tc>
          <w:tcPr>
            <w:tcW w:w="0" w:type="auto"/>
            <w:vAlign w:val="center"/>
            <w:textDirection w:val="lrTb"/>
            <w:noWrap w:val="false"/>
          </w:tcPr>
          <w:p>
            <w:pPr>
              <w:pStyle w:val="1007"/>
              <w:ind w:lef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2.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4836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sz w:val="26"/>
                <w:szCs w:val="26"/>
              </w:rPr>
              <w:t xml:space="preserve">Южный РЭC ПО ЗЭС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4111" w:type="dxa"/>
            <w:vAlign w:val="center"/>
            <w:textDirection w:val="lrTb"/>
            <w:noWrap w:val="false"/>
          </w:tcPr>
          <w:p>
            <w:pPr>
              <w:pStyle w:val="1009"/>
              <w:numPr>
                <w:ilvl w:val="0"/>
                <w:numId w:val="0"/>
              </w:numPr>
              <w:jc w:val="center"/>
              <w:spacing w:before="0" w:beforeAutospacing="0" w:after="0" w:afterAutospacing="0"/>
              <w:rPr>
                <w:sz w:val="24"/>
              </w:rPr>
            </w:pPr>
            <w:r>
              <w:rPr>
                <w:sz w:val="24"/>
              </w:rPr>
              <w:t xml:space="preserve">Свердловская обл., г. Полевской, ул. Магистр</w:t>
            </w:r>
            <w:r>
              <w:rPr>
                <w:sz w:val="24"/>
              </w:rPr>
              <w:t xml:space="preserve">а</w:t>
            </w:r>
            <w:r>
              <w:rPr>
                <w:sz w:val="24"/>
              </w:rPr>
              <w:t xml:space="preserve">ль, 15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64"/>
        <w:numPr>
          <w:ilvl w:val="1"/>
          <w:numId w:val="2"/>
        </w:numPr>
        <w:ind w:left="0" w:firstLine="0"/>
        <w:jc w:val="both"/>
        <w:tabs>
          <w:tab w:val="left" w:pos="284" w:leader="none"/>
          <w:tab w:val="left" w:pos="426" w:leader="none"/>
          <w:tab w:val="left" w:pos="720" w:leader="none"/>
        </w:tabs>
        <w:rPr>
          <w:bCs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             </w:t>
      </w:r>
      <w:r>
        <w:t xml:space="preserve">Начало – с момента заключения договора;</w:t>
      </w:r>
      <w:r>
        <w:rPr>
          <w:b/>
        </w:rPr>
      </w:r>
      <w:r>
        <w:rPr>
          <w:b/>
        </w:rPr>
      </w:r>
    </w:p>
    <w:p>
      <w:pPr>
        <w:ind w:firstLine="709"/>
        <w:jc w:val="both"/>
        <w:tabs>
          <w:tab w:val="left" w:pos="709" w:leader="none"/>
        </w:tabs>
      </w:pPr>
      <w:r>
        <w:t xml:space="preserve"> Окончание - 30.12.2026</w:t>
      </w:r>
      <w:r>
        <w:t xml:space="preserve">. </w:t>
      </w:r>
      <w:r/>
    </w:p>
    <w:p>
      <w:pPr>
        <w:ind w:left="450" w:firstLine="0"/>
        <w:jc w:val="both"/>
        <w:tabs>
          <w:tab w:val="left" w:pos="284" w:leader="none"/>
          <w:tab w:val="left" w:pos="426" w:leader="none"/>
          <w:tab w:val="left" w:pos="720" w:leader="none"/>
        </w:tabs>
      </w:pPr>
      <w:r>
        <w:rPr>
          <w:bCs/>
          <w:highlight w:val="none"/>
        </w:rPr>
      </w:r>
      <w:r>
        <w:rPr>
          <w:bCs/>
          <w:highlight w:val="none"/>
        </w:rPr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Источник финансирования: </w:t>
      </w:r>
      <w:r>
        <w:t xml:space="preserve">себестоимость.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1417"/>
        <w:gridCol w:w="3764"/>
        <w:gridCol w:w="2000"/>
        <w:gridCol w:w="1151"/>
        <w:gridCol w:w="1761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r>
              <w:t xml:space="preserve">закупка/лот (</w:t>
            </w:r>
            <w:r>
              <w:rPr>
                <w:lang w:val="en-US"/>
              </w:rPr>
              <w:t xml:space="preserve">ID</w:t>
            </w:r>
            <w:r>
              <w:t xml:space="preserve"> заявки)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Наименование лота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Начальная (максимальная) цена в руб. с НДС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в </w:t>
            </w:r>
            <w:r>
              <w:t xml:space="preserve">т.ч</w:t>
            </w:r>
            <w:r>
              <w:t xml:space="preserve">. НДС, </w:t>
            </w:r>
            <w:r/>
          </w:p>
          <w:p>
            <w:pPr>
              <w:jc w:val="center"/>
            </w:pPr>
            <w:r>
              <w:t xml:space="preserve">%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Код ОКПД2</w:t>
            </w:r>
            <w:r/>
          </w:p>
        </w:tc>
      </w:tr>
      <w:tr>
        <w:tblPrEx/>
        <w:trPr>
          <w:trHeight w:val="386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58201 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pStyle w:val="963"/>
              <w:jc w:val="center"/>
            </w:pPr>
            <w:r>
              <w:t xml:space="preserve">Проведение исследований подземных вод из скважин технического водоснабжения  ПО Западные ЭС</w:t>
            </w:r>
            <w:r>
              <w:t xml:space="preserve"> 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 23 520,00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22</w:t>
            </w:r>
            <w:r/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0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71.20.19.190</w:t>
            </w:r>
            <w:r/>
          </w:p>
        </w:tc>
      </w:tr>
    </w:tbl>
    <w:p>
      <w:pPr>
        <w:jc w:val="both"/>
        <w:tabs>
          <w:tab w:val="num" w:pos="0" w:leader="none"/>
        </w:tabs>
      </w:pPr>
      <w:r>
        <w:tab/>
        <w:t xml:space="preserve">Начальная (максимальная) ц</w:t>
      </w:r>
      <w:r>
        <w:t xml:space="preserve">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</w:r>
      <w:r/>
    </w:p>
    <w:p>
      <w:pPr>
        <w:jc w:val="both"/>
        <w:tabs>
          <w:tab w:val="num" w:pos="0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Условия оплаты. </w:t>
      </w:r>
      <w:r/>
    </w:p>
    <w:p>
      <w:pPr>
        <w:jc w:val="both"/>
        <w:tabs>
          <w:tab w:val="left" w:pos="709" w:leader="none"/>
        </w:tabs>
        <w:rPr>
          <w:iCs/>
        </w:rPr>
      </w:pPr>
      <w:r>
        <w:t xml:space="preserve">Оплата за оказанные услуги производится по безналичному расчету путем перечисления денежных средств на расчетный счет Исполнителя в течение 30</w:t>
      </w:r>
      <w:r>
        <w:t xml:space="preserve"> (тридцати) </w:t>
      </w:r>
      <w:r>
        <w:t xml:space="preserve">рабочих </w:t>
      </w:r>
      <w:r>
        <w:t xml:space="preserve">дней</w:t>
      </w:r>
      <w:r>
        <w:rPr>
          <w:vertAlign w:val="superscript"/>
        </w:rPr>
        <w:footnoteReference w:id="2"/>
      </w:r>
      <w:r>
        <w:t xml:space="preserve"> со дня подписания Заказчиком документа о приемке оказанных услуг при наличии подписанного Сторонами Договора оказания услуг в оригинале, </w:t>
      </w:r>
      <w:r>
        <w:rPr>
          <w:iCs/>
        </w:rPr>
        <w:t xml:space="preserve">в соответствии с п</w:t>
      </w:r>
      <w:r>
        <w:rPr>
          <w:iCs/>
        </w:rPr>
        <w:t xml:space="preserve">.</w:t>
      </w:r>
      <w:r>
        <w:rPr>
          <w:iCs/>
        </w:rPr>
        <w:t xml:space="preserve"> </w:t>
      </w:r>
      <w:r>
        <w:rPr>
          <w:iCs/>
        </w:rPr>
        <w:t xml:space="preserve">2.2</w:t>
      </w:r>
      <w:r>
        <w:rPr>
          <w:iCs/>
        </w:rPr>
        <w:t xml:space="preserve"> Договора (Приложение №</w:t>
      </w:r>
      <w:r>
        <w:rPr>
          <w:iCs/>
        </w:rPr>
        <w:t xml:space="preserve"> 2</w:t>
      </w:r>
      <w:r>
        <w:rPr>
          <w:iCs/>
        </w:rPr>
        <w:t xml:space="preserve"> к настоящему ТЗ).</w:t>
      </w:r>
      <w:r>
        <w:rPr>
          <w:iCs/>
        </w:rPr>
      </w:r>
      <w:r>
        <w:rPr>
          <w:iCs/>
        </w:rPr>
      </w:r>
    </w:p>
    <w:p>
      <w:pPr>
        <w:jc w:val="both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</w:t>
      </w:r>
      <w:r>
        <w:rPr>
          <w:b/>
        </w:rPr>
        <w:t xml:space="preserve">ведению работ</w:t>
      </w:r>
      <w:r>
        <w:rPr>
          <w:b/>
        </w:rPr>
        <w:t xml:space="preserve">/оказанию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</w:t>
      </w:r>
      <w:r>
        <w:t xml:space="preserve">договором </w:t>
      </w:r>
      <w:r>
        <w:t xml:space="preserve">о</w:t>
      </w:r>
      <w:r>
        <w:t xml:space="preserve">казания услуг</w:t>
      </w:r>
      <w:r>
        <w:t xml:space="preserve"> </w:t>
      </w:r>
      <w:r>
        <w:t xml:space="preserve">(Приложение №</w:t>
      </w:r>
      <w:r>
        <w:t xml:space="preserve">2</w:t>
      </w:r>
      <w:r>
        <w:t xml:space="preserve"> к настоящему ТЗ)</w:t>
      </w:r>
      <w:r>
        <w:t xml:space="preserve">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</w:t>
      </w:r>
      <w:r>
        <w:t xml:space="preserve">требований,</w:t>
      </w:r>
      <w:r>
        <w:t xml:space="preserve"> действующих РД, СП, СНиП, требованиями ПУЭ, </w:t>
      </w:r>
      <w:r>
        <w:t xml:space="preserve">федерального закона № 52-ФЗ от 30.03.1999г. «О санитарно-</w:t>
      </w:r>
      <w:r>
        <w:t xml:space="preserve">эпидемиолог</w:t>
      </w:r>
      <w:r>
        <w:t xml:space="preserve">ическом благополучия населения», </w:t>
      </w:r>
      <w:r>
        <w:rPr>
          <w:color w:val="333333"/>
          <w:shd w:val="clear" w:color="auto" w:fill="ffffff"/>
        </w:rPr>
        <w:t xml:space="preserve">СанПиН 2.1.3684-21 «</w:t>
      </w:r>
      <w:r>
        <w:t xml:space="preserve">Санитарно-эпидемиологические требования к содержанию территорий городских и сельских поселений,</w:t>
      </w:r>
      <w:r>
        <w:t xml:space="preserve"> к водным объектам, питьевой воде,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санитарно-противоэпидемиологических (профилактических) мероприятий».</w:t>
      </w:r>
      <w:r/>
    </w:p>
    <w:p>
      <w:pPr>
        <w:numPr>
          <w:ilvl w:val="2"/>
          <w:numId w:val="2"/>
        </w:numPr>
        <w:ind w:left="0" w:firstLine="0"/>
        <w:jc w:val="both"/>
      </w:pPr>
      <w:r>
        <w:t xml:space="preserve">Участник должен иметь испытательную лабораторию (центр) к</w:t>
      </w:r>
      <w:r>
        <w:t xml:space="preserve">о</w:t>
      </w:r>
      <w:r>
        <w:t xml:space="preserve">торая должна быть аккредитована национальным органом Российской Федерации по аккредитации в порядке, установленном законодательством Российской Федерации с областями аккредитации, позволяющими проведение исследований (испытаний) подземной  воды из скважин.</w:t>
      </w:r>
      <w:r/>
    </w:p>
    <w:p>
      <w:pPr>
        <w:pStyle w:val="964"/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rFonts w:eastAsia="MS Mincho"/>
          <w:highlight w:val="none"/>
          <w:lang w:eastAsia="ja-JP"/>
        </w:rPr>
        <w:t xml:space="preserve">Исполнитель должен самостоятельно (без привлечения субподрядчиков) </w:t>
      </w:r>
      <w:r>
        <w:rPr>
          <w:rFonts w:eastAsia="MS Mincho"/>
          <w:highlight w:val="none"/>
          <w:lang w:eastAsia="ja-JP"/>
        </w:rPr>
        <w:t xml:space="preserve">оказывать услуги</w:t>
      </w:r>
      <w:r>
        <w:rPr>
          <w:rFonts w:eastAsia="MS Mincho"/>
          <w:highlight w:val="none"/>
          <w:lang w:eastAsia="ja-JP"/>
        </w:rPr>
        <w:t xml:space="preserve">, общая стоимость которых должна составлять не менее 50% от цены, указанной в заявке, без учета стоимости материалов и оборудов</w:t>
      </w:r>
      <w:r>
        <w:rPr>
          <w:rFonts w:eastAsia="MS Mincho"/>
          <w:highlight w:val="none"/>
          <w:lang w:eastAsia="ja-JP"/>
        </w:rPr>
        <w:t xml:space="preserve">ания, приобретаемых </w:t>
      </w:r>
      <w:r>
        <w:rPr>
          <w:rFonts w:eastAsia="MS Mincho"/>
          <w:highlight w:val="none"/>
          <w:lang w:eastAsia="ja-JP"/>
        </w:rPr>
        <w:t xml:space="preserve">Исполнителем </w:t>
      </w:r>
      <w:r>
        <w:rPr>
          <w:iCs/>
          <w:highlight w:val="none"/>
        </w:rPr>
        <w:t xml:space="preserve">в соответствии с п.5.1.4. Договора (Приложение № 2 к настоящему ТЗ)</w:t>
      </w:r>
      <w:r>
        <w:rPr>
          <w:iCs/>
          <w:highlight w:val="none"/>
        </w:rPr>
        <w:t xml:space="preserve">.</w:t>
      </w:r>
      <w:r/>
    </w:p>
    <w:p>
      <w:pPr>
        <w:jc w:val="both"/>
        <w:tabs>
          <w:tab w:val="left" w:pos="709" w:leader="none"/>
        </w:tabs>
      </w:pPr>
      <w:r/>
      <w:r/>
    </w:p>
    <w:p>
      <w:pPr>
        <w:pStyle w:val="99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93"/>
        <w:numPr>
          <w:ilvl w:val="1"/>
          <w:numId w:val="2"/>
        </w:numPr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94"/>
        <w:numPr>
          <w:ilvl w:val="2"/>
          <w:numId w:val="2"/>
        </w:numPr>
        <w:ind w:left="0" w:firstLine="0"/>
        <w:spacing w:before="0" w:after="0"/>
        <w:rPr>
          <w:sz w:val="20"/>
          <w:lang w:eastAsia="ja-JP"/>
        </w:rPr>
      </w:pPr>
      <w:r>
        <w:rPr>
          <w:lang w:eastAsia="ja-JP"/>
        </w:rPr>
        <w:t xml:space="preserve">Техническое предложение участника закупки, в том числе предложение по качеству оказания услуг должно соответствовать требованиям Технического задания (</w:t>
      </w:r>
      <w:r>
        <w:t xml:space="preserve">«Техническая часть» Документации).</w:t>
      </w:r>
      <w:r>
        <w:rPr>
          <w:sz w:val="20"/>
          <w:lang w:eastAsia="ja-JP"/>
        </w:rPr>
      </w:r>
      <w:r>
        <w:rPr>
          <w:sz w:val="20"/>
          <w:lang w:eastAsia="ja-JP"/>
        </w:rPr>
      </w:r>
    </w:p>
    <w:p>
      <w:pPr>
        <w:pStyle w:val="994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Иметь в составе заявки комплект документов, перечисленный в п.3 </w:t>
      </w:r>
      <w:r>
        <w:t xml:space="preserve">настоящего </w:t>
      </w:r>
      <w:r>
        <w:rPr>
          <w:rFonts w:eastAsia="MS Mincho"/>
          <w:lang w:eastAsia="ja-JP"/>
        </w:rPr>
        <w:t xml:space="preserve">ТЗ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94"/>
        <w:numPr>
          <w:ilvl w:val="2"/>
          <w:numId w:val="2"/>
        </w:numPr>
        <w:contextualSpacing/>
        <w:ind w:left="0" w:firstLine="0"/>
        <w:spacing w:before="0" w:after="0"/>
        <w:tabs>
          <w:tab w:val="left" w:pos="709" w:leader="none"/>
        </w:tabs>
        <w:rPr>
          <w:rFonts w:eastAsia="MS Mincho"/>
          <w:lang w:eastAsia="ja-JP"/>
        </w:rPr>
      </w:pPr>
      <w:r>
        <w:t xml:space="preserve">Участниками закупки могут быть любые лица, указанные в части 5 статьи 3 Федерального закона "О закупках товаров, работ, услуг отдельными видами юридических лиц", в </w:t>
      </w:r>
      <w:r>
        <w:t xml:space="preserve">т.ч</w:t>
      </w:r>
      <w:r>
        <w:t xml:space="preserve">. субъекты малого и среднего предпринимательства.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94"/>
        <w:numPr>
          <w:ilvl w:val="0"/>
          <w:numId w:val="0"/>
        </w:numPr>
        <w:contextualSpacing/>
        <w:tabs>
          <w:tab w:val="left" w:pos="709" w:leader="none"/>
        </w:tabs>
      </w:pPr>
      <w:r/>
      <w:r/>
    </w:p>
    <w:p>
      <w:pPr>
        <w:pStyle w:val="992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64"/>
        <w:numPr>
          <w:ilvl w:val="1"/>
          <w:numId w:val="2"/>
        </w:numPr>
        <w:ind w:left="0" w:firstLine="0"/>
        <w:jc w:val="both"/>
        <w:rPr>
          <w:rFonts w:eastAsia="Calibri"/>
          <w:szCs w:val="20"/>
          <w:lang w:eastAsia="en-US"/>
        </w:rPr>
      </w:pPr>
      <w:r>
        <w:rPr>
          <w:rFonts w:eastAsia="Calibri"/>
          <w:szCs w:val="20"/>
          <w:lang w:eastAsia="en-US"/>
        </w:rPr>
        <w:t xml:space="preserve">Техническое пр</w:t>
      </w:r>
      <w:r>
        <w:rPr>
          <w:rFonts w:eastAsia="Calibri"/>
          <w:szCs w:val="20"/>
          <w:lang w:eastAsia="en-US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rFonts w:eastAsia="Calibri"/>
          <w:szCs w:val="20"/>
          <w:lang w:eastAsia="en-US"/>
        </w:rPr>
      </w:r>
      <w:r>
        <w:rPr>
          <w:rFonts w:eastAsia="Calibri"/>
          <w:szCs w:val="20"/>
          <w:lang w:eastAsia="en-US"/>
        </w:rPr>
      </w:r>
    </w:p>
    <w:p>
      <w:pPr>
        <w:pStyle w:val="994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В составе ценового предложения Участник д</w:t>
      </w:r>
      <w:r>
        <w:t xml:space="preserve">олжен предоставить Приложение №4</w:t>
      </w:r>
      <w:r>
        <w:t xml:space="preserve"> к Техническому заданию – Расчет стоимости 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</w:t>
      </w:r>
      <w:r>
        <w:t xml:space="preserve">4</w:t>
      </w:r>
      <w:r>
        <w:t xml:space="preserve">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94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Несоответствие Расчета стоимости</w:t>
      </w:r>
      <w:r>
        <w:t xml:space="preserve"> услуг</w:t>
      </w:r>
      <w:r>
        <w:t xml:space="preserve">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63"/>
        <w:jc w:val="both"/>
        <w:tabs>
          <w:tab w:val="left" w:pos="709" w:leader="none"/>
        </w:tabs>
      </w:pPr>
      <w:r/>
      <w:r/>
    </w:p>
    <w:p>
      <w:pPr>
        <w:pStyle w:val="964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8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567" w:leader="none"/>
        </w:tabs>
        <w:rPr>
          <w:rFonts w:eastAsia="Calibri"/>
        </w:rPr>
      </w:pPr>
      <w:r>
        <w:rPr>
          <w:rFonts w:eastAsia="Calibri"/>
        </w:rPr>
      </w:r>
      <w:r>
        <w:rPr>
          <w:rFonts w:eastAsia="Calibri"/>
        </w:rPr>
      </w:r>
      <w:r>
        <w:rPr>
          <w:rFonts w:eastAsia="Calibri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6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4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64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   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87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6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pStyle w:val="964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0" w:name="_Toc439063132"/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pStyle w:val="96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1" w:name="_Toc8120155"/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1"/>
      <w:r>
        <w:t xml:space="preserve">Проект договора (форма).</w:t>
      </w:r>
      <w:r>
        <w:rPr>
          <w:i/>
        </w:rPr>
        <w:t xml:space="preserve"> </w:t>
      </w:r>
      <w:bookmarkEnd w:id="0"/>
      <w:r>
        <w:rPr>
          <w:i/>
        </w:rPr>
      </w:r>
      <w:r>
        <w:rPr>
          <w:i/>
        </w:rPr>
      </w:r>
    </w:p>
    <w:p>
      <w:pPr>
        <w:pStyle w:val="96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84"/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3 (</w:t>
      </w:r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84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84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984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84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64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84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84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84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</w:t>
      </w:r>
      <w:r>
        <w:t xml:space="preserve">/услуг</w:t>
      </w:r>
      <w:r>
        <w:t xml:space="preserve">.</w:t>
      </w:r>
      <w:r/>
    </w:p>
    <w:p>
      <w:pPr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left"/>
        <w:spacing w:line="276" w:lineRule="auto"/>
        <w:rPr>
          <w:b/>
          <w:bCs/>
          <w:highlight w:val="white"/>
        </w:rPr>
      </w:pPr>
      <w:r>
        <w:rPr>
          <w:highlight w:val="white"/>
        </w:rPr>
        <w:t xml:space="preserve">Техническое задание </w:t>
      </w:r>
      <w:r>
        <w:rPr>
          <w:b w:val="0"/>
          <w:bCs w:val="0"/>
          <w:highlight w:val="white"/>
        </w:rPr>
        <w:t xml:space="preserve">с</w:t>
      </w:r>
      <w:r>
        <w:rPr>
          <w:b w:val="0"/>
          <w:bCs w:val="0"/>
          <w:highlight w:val="white"/>
        </w:rPr>
        <w:t xml:space="preserve">оставил: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</w:tblGrid>
      <w:tr>
        <w:tblPrEx/>
        <w:trPr>
          <w:cantSplit/>
          <w:trHeight w:val="37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Должность, структурное подразделение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4"/>
                <w:szCs w:val="24"/>
                <w:highlight w:val="white"/>
              </w:rPr>
            </w:pPr>
            <w:r>
              <w:rPr>
                <w:b/>
                <w:sz w:val="24"/>
                <w:szCs w:val="24"/>
                <w:highlight w:val="white"/>
              </w:rPr>
              <w:t xml:space="preserve">Фамилия, инициалы</w:t>
            </w:r>
            <w:r>
              <w:rPr>
                <w:b/>
                <w:sz w:val="24"/>
                <w:szCs w:val="24"/>
                <w:highlight w:val="white"/>
              </w:rPr>
            </w:r>
            <w:r>
              <w:rPr>
                <w:b/>
                <w:sz w:val="24"/>
                <w:szCs w:val="24"/>
                <w:highlight w:val="white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Ведущий </w:t>
            </w:r>
            <w:r>
              <w:rPr>
                <w:sz w:val="24"/>
                <w:szCs w:val="24"/>
                <w:highlight w:val="white"/>
              </w:rPr>
              <w:t xml:space="preserve">инженер по ООС (эколог)</w:t>
            </w:r>
            <w:r>
              <w:rPr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УПБ</w:t>
            </w:r>
            <w:r>
              <w:rPr>
                <w:sz w:val="24"/>
                <w:szCs w:val="24"/>
                <w:highlight w:val="white"/>
              </w:rPr>
              <w:t xml:space="preserve">ОТ</w:t>
            </w:r>
            <w:r>
              <w:rPr>
                <w:sz w:val="24"/>
                <w:szCs w:val="24"/>
                <w:highlight w:val="white"/>
              </w:rPr>
              <w:t xml:space="preserve">иПК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  <w:t xml:space="preserve">Т.А. Кугенева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right="76"/>
        <w:jc w:val="both"/>
        <w:rPr>
          <w:b/>
          <w:bCs/>
        </w:rPr>
      </w:pPr>
      <w:r>
        <w:rPr>
          <w:b/>
          <w:highlight w:val="none"/>
        </w:rPr>
      </w:r>
      <w:r>
        <w:rPr>
          <w:b/>
          <w:bCs/>
        </w:rPr>
      </w:r>
      <w:r>
        <w:rPr>
          <w:b/>
          <w:bCs/>
        </w:rPr>
      </w:r>
    </w:p>
    <w:p>
      <w:pPr>
        <w:ind w:right="76"/>
        <w:jc w:val="both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5387"/>
        <w:pageBreakBefore/>
        <w:rPr>
          <w:bCs/>
        </w:rPr>
      </w:pPr>
      <w:r>
        <w:t xml:space="preserve">Приложение 1 к </w:t>
      </w:r>
      <w:r>
        <w:t xml:space="preserve">Техническому заданию (обязательное)</w:t>
      </w:r>
      <w:r>
        <w:rPr>
          <w:bCs/>
        </w:rPr>
      </w:r>
      <w:r>
        <w:rPr>
          <w:bCs/>
        </w:rPr>
      </w:r>
    </w:p>
    <w:p>
      <w:pPr>
        <w:pStyle w:val="100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100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851"/>
        <w:jc w:val="center"/>
        <w:spacing w:before="411" w:after="274" w:line="343" w:lineRule="atLeast"/>
        <w:shd w:val="clear" w:color="auto" w:fill="ffffff"/>
        <w:rPr>
          <w:sz w:val="28"/>
          <w:szCs w:val="28"/>
        </w:rPr>
        <w:pBdr>
          <w:bottom w:val="single" w:color="000000" w:sz="12" w:space="1"/>
        </w:pBdr>
        <w:outlineLvl w:val="1"/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outlineLvl w:val="1"/>
      </w:pPr>
      <w:r>
        <w:t xml:space="preserve">Оказание услуг по п</w:t>
      </w:r>
      <w:r>
        <w:t xml:space="preserve">роведени</w:t>
      </w:r>
      <w:r>
        <w:t xml:space="preserve">ю</w:t>
      </w:r>
      <w:r>
        <w:t xml:space="preserve"> исследований подземных вод из скважин те</w:t>
      </w:r>
      <w:r>
        <w:t xml:space="preserve">хнического водоснабжения ПО ЗЭС</w:t>
      </w:r>
      <w:r/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881"/>
        <w:gridCol w:w="4882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/>
            <w:bookmarkStart w:id="2" w:name="l55"/>
            <w:r/>
            <w:bookmarkEnd w:id="2"/>
            <w:r>
              <w:rPr>
                <w:sz w:val="28"/>
                <w:szCs w:val="28"/>
              </w:rPr>
              <w:t xml:space="preserve">Начальная (максимальная) цена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ind w:firstLine="851"/>
              <w:spacing w:after="300"/>
              <w:rPr>
                <w:sz w:val="28"/>
                <w:szCs w:val="28"/>
              </w:rPr>
            </w:pPr>
            <w:r>
              <w:t xml:space="preserve">23 520</w:t>
            </w:r>
            <w:r>
              <w:t xml:space="preserve">,00 в </w:t>
            </w:r>
            <w:r>
              <w:t xml:space="preserve">т.ч</w:t>
            </w:r>
            <w:r>
              <w:t xml:space="preserve">. НДС – 22%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pStyle w:val="987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 xml:space="preserve">Метод сопоставимых рыночных цен (анализа рынка)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i/>
                <w:sz w:val="28"/>
                <w:szCs w:val="28"/>
              </w:rPr>
            </w:pPr>
            <w:r>
              <w:t xml:space="preserve">Единый стандарт закупок ПАО «</w:t>
            </w:r>
            <w:r>
              <w:t xml:space="preserve">Россети</w:t>
            </w:r>
            <w:r>
              <w:t xml:space="preserve">» (положение о закупке)</w:t>
            </w:r>
            <w:r>
              <w:rPr>
                <w:i/>
                <w:sz w:val="28"/>
                <w:szCs w:val="28"/>
              </w:rPr>
            </w:r>
            <w:r>
              <w:rPr>
                <w:i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4 к Техническому заданию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r/>
      <w:r/>
    </w:p>
    <w:tbl>
      <w:tblPr>
        <w:tblW w:w="544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3079"/>
        <w:gridCol w:w="1310"/>
        <w:gridCol w:w="1135"/>
        <w:gridCol w:w="1135"/>
        <w:gridCol w:w="1138"/>
        <w:gridCol w:w="1565"/>
        <w:gridCol w:w="1267"/>
      </w:tblGrid>
      <w:tr>
        <w:tblPrEx/>
        <w:trPr>
          <w:jc w:val="center"/>
          <w:trHeight w:val="570"/>
        </w:trPr>
        <w:tc>
          <w:tcPr>
            <w:shd w:val="clear" w:color="auto" w:fill="auto"/>
            <w:tcW w:w="3079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</w:t>
            </w:r>
            <w:r>
              <w:rPr>
                <w:bCs/>
              </w:rPr>
              <w:t xml:space="preserve"> услуг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6"/>
            <w:shd w:val="clear" w:color="auto" w:fill="auto"/>
            <w:tcW w:w="755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Ценовая информация, руб. без НДС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W w:w="3079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</w:rPr>
            </w:pPr>
            <w:r>
              <w:rPr>
                <w:bCs/>
              </w:rPr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gridSpan w:val="2"/>
            <w:shd w:val="clear" w:color="auto" w:fill="auto"/>
            <w:tcW w:w="244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Предложение № 1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227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Предложение № 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gridSpan w:val="2"/>
            <w:shd w:val="clear" w:color="auto" w:fill="auto"/>
            <w:tcW w:w="283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Предложение № 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W w:w="3079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auto" w:fill="auto"/>
            <w:tcW w:w="131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t xml:space="preserve">Начальная (максимальная) цена в руб. с НДС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t xml:space="preserve">В том числе НДС,  %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r>
              <w:t xml:space="preserve">Начальная (максимальная) цена в руб. с НДС</w:t>
            </w:r>
            <w:r/>
          </w:p>
        </w:tc>
        <w:tc>
          <w:tcPr>
            <w:shd w:val="clear" w:color="auto" w:fill="auto"/>
            <w:tcW w:w="1138" w:type="dxa"/>
            <w:vAlign w:val="center"/>
            <w:textDirection w:val="lrTb"/>
            <w:noWrap w:val="false"/>
          </w:tcPr>
          <w:p>
            <w:r>
              <w:t xml:space="preserve">В том числе НДС,  %</w:t>
            </w:r>
            <w:r/>
          </w:p>
        </w:tc>
        <w:tc>
          <w:tcPr>
            <w:shd w:val="clear" w:color="auto" w:fill="auto"/>
            <w:tcW w:w="1565" w:type="dxa"/>
            <w:vAlign w:val="center"/>
            <w:textDirection w:val="lrTb"/>
            <w:noWrap w:val="false"/>
          </w:tcPr>
          <w:p>
            <w:r>
              <w:t xml:space="preserve">Начальная (максимальная) цена в руб. с НДС</w:t>
            </w:r>
            <w:r/>
          </w:p>
        </w:tc>
        <w:tc>
          <w:tcPr>
            <w:shd w:val="clear" w:color="auto" w:fill="auto"/>
            <w:tcW w:w="1267" w:type="dxa"/>
            <w:vAlign w:val="center"/>
            <w:textDirection w:val="lrTb"/>
            <w:noWrap w:val="false"/>
          </w:tcPr>
          <w:p>
            <w:r>
              <w:t xml:space="preserve">В том числе НДС,  %</w:t>
            </w:r>
            <w:r/>
          </w:p>
        </w:tc>
      </w:tr>
      <w:tr>
        <w:tblPrEx/>
        <w:trPr>
          <w:jc w:val="center"/>
          <w:trHeight w:val="1179"/>
        </w:trPr>
        <w:tc>
          <w:tcPr>
            <w:shd w:val="clear" w:color="auto" w:fill="auto"/>
            <w:tcW w:w="3079" w:type="dxa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t xml:space="preserve">Проведение исследований подземных вод из скважин технического водоснабжения  ПО ЗЭС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31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54 900,00</w:t>
            </w:r>
            <w:r/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13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23 520,00</w:t>
            </w:r>
            <w:r/>
          </w:p>
        </w:tc>
        <w:tc>
          <w:tcPr>
            <w:shd w:val="clear" w:color="auto" w:fill="auto"/>
            <w:tcW w:w="11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W w:w="1565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rPr>
                <w:color w:val="000000"/>
              </w:rPr>
              <w:t xml:space="preserve">67 100,00</w:t>
            </w:r>
            <w:r/>
          </w:p>
        </w:tc>
        <w:tc>
          <w:tcPr>
            <w:shd w:val="clear" w:color="auto" w:fill="auto"/>
            <w:tcW w:w="12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22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ind w:right="76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709"/>
        <w:jc w:val="right"/>
        <w:pageBreakBefore/>
        <w:tabs>
          <w:tab w:val="left" w:pos="993" w:leader="none"/>
        </w:tabs>
      </w:pPr>
      <w:r/>
      <w:bookmarkStart w:id="3" w:name="_Toc536483690"/>
      <w:r/>
      <w:bookmarkStart w:id="4" w:name="_Toc536628829"/>
      <w:r/>
      <w:bookmarkStart w:id="5" w:name="_Toc2757058"/>
      <w:r>
        <w:t xml:space="preserve">Приложение №3 к Техническому заданию </w:t>
      </w:r>
      <w:r/>
    </w:p>
    <w:p>
      <w:pPr>
        <w:pStyle w:val="963"/>
        <w:jc w:val="center"/>
        <w:rPr>
          <w:b/>
        </w:rPr>
      </w:pPr>
      <w:r>
        <w:rPr>
          <w:b/>
        </w:rPr>
      </w:r>
      <w:bookmarkEnd w:id="3"/>
      <w:r/>
      <w:bookmarkEnd w:id="4"/>
      <w:r/>
      <w:bookmarkEnd w:id="5"/>
      <w:r>
        <w:rPr>
          <w:b/>
        </w:rPr>
      </w:r>
      <w:r>
        <w:rPr>
          <w:b/>
        </w:rPr>
      </w:r>
    </w:p>
    <w:p>
      <w:pPr>
        <w:pStyle w:val="963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63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  <w:r>
        <w:rPr>
          <w:b/>
          <w:bCs/>
          <w:i/>
          <w:sz w:val="20"/>
          <w:szCs w:val="20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bCs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bCs/>
          <w:i/>
          <w:iCs/>
          <w:sz w:val="20"/>
          <w:szCs w:val="20"/>
          <w:highlight w:val="none"/>
        </w:rPr>
      </w:r>
      <w:r>
        <w:rPr>
          <w:b/>
          <w:bCs/>
          <w:i/>
          <w:iCs/>
          <w:sz w:val="20"/>
          <w:szCs w:val="20"/>
          <w:highlight w:val="non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Выше приведена форма титульного листа Технического предложения участника. 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</w:t>
      </w:r>
      <w:r>
        <w:rPr>
          <w:i/>
          <w:iCs/>
          <w:sz w:val="20"/>
          <w:szCs w:val="20"/>
          <w:highlight w:val="white"/>
        </w:rPr>
        <w:t xml:space="preserve">к закупки приводит номер и дату письма о подаче оферты, приложением к которому является данная форма.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whit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  <w:t xml:space="preserve">Участник в Техническом предложении должен подтвердить свое согласие с требованиями Технической части (технического задания)</w:t>
      </w:r>
      <w:r>
        <w:rPr>
          <w:i/>
          <w:iCs/>
          <w:sz w:val="20"/>
          <w:szCs w:val="20"/>
          <w:highlight w:val="white"/>
        </w:rPr>
        <w:t xml:space="preserve">, </w:t>
      </w:r>
      <w:r>
        <w:rPr>
          <w:i/>
          <w:iCs/>
          <w:sz w:val="20"/>
          <w:szCs w:val="20"/>
          <w:highlight w:val="white"/>
        </w:rPr>
        <w:t xml:space="preserve">Проекта</w:t>
      </w:r>
      <w:r>
        <w:rPr>
          <w:i/>
          <w:iCs/>
          <w:sz w:val="20"/>
          <w:szCs w:val="20"/>
          <w:highlight w:val="white"/>
        </w:rPr>
        <w:t xml:space="preserve"> дого</w:t>
      </w:r>
      <w:r>
        <w:rPr>
          <w:i/>
          <w:iCs/>
          <w:sz w:val="20"/>
          <w:szCs w:val="20"/>
          <w:highlight w:val="white"/>
        </w:rPr>
        <w:t xml:space="preserve">вора</w:t>
      </w:r>
      <w:r>
        <w:rPr>
          <w:i/>
          <w:iCs/>
          <w:sz w:val="20"/>
          <w:szCs w:val="20"/>
          <w:highlight w:val="white"/>
        </w:rPr>
        <w:t xml:space="preserve">.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34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bCs/>
          <w:i/>
          <w:iCs/>
          <w:sz w:val="20"/>
          <w:szCs w:val="20"/>
          <w:highlight w:val="white"/>
        </w:rPr>
        <w:t xml:space="preserve">Указание формулировки «В соответствии с техническим заданием заказчика», а также копирование текс</w:t>
      </w:r>
      <w:r>
        <w:rPr>
          <w:bCs/>
          <w:i/>
          <w:iCs/>
          <w:sz w:val="20"/>
          <w:szCs w:val="20"/>
          <w:highlight w:val="white"/>
        </w:rPr>
        <w:t xml:space="preserve">та технического задания не приемлемо и является нарушением порядка оформления документа.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pStyle w:val="951"/>
        <w:ind w:left="567"/>
        <w:jc w:val="right"/>
        <w:pageBreakBefore/>
        <w:spacing w:line="240" w:lineRule="atLeast"/>
        <w:tabs>
          <w:tab w:val="left" w:pos="993" w:leader="none"/>
        </w:tabs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 xml:space="preserve">Приложение №</w:t>
      </w:r>
      <w:r>
        <w:rPr>
          <w:b w:val="0"/>
          <w:i w:val="0"/>
          <w:sz w:val="24"/>
          <w:szCs w:val="24"/>
        </w:rPr>
        <w:t xml:space="preserve">4</w:t>
      </w:r>
      <w:r>
        <w:rPr>
          <w:b w:val="0"/>
          <w:i w:val="0"/>
          <w:sz w:val="24"/>
          <w:szCs w:val="24"/>
        </w:rPr>
      </w:r>
      <w:r>
        <w:rPr>
          <w:b w:val="0"/>
          <w:i w:val="0"/>
          <w:sz w:val="24"/>
          <w:szCs w:val="24"/>
        </w:rPr>
      </w:r>
    </w:p>
    <w:p>
      <w:pPr>
        <w:pStyle w:val="976"/>
        <w:jc w:val="right"/>
        <w:spacing w:line="240" w:lineRule="atLeas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к Техническому заданию</w:t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7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7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pPr>
        <w:pStyle w:val="979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услуг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p>
      <w:r/>
      <w:r/>
    </w:p>
    <w:tbl>
      <w:tblPr>
        <w:tblW w:w="1049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31"/>
        <w:gridCol w:w="3150"/>
        <w:gridCol w:w="1134"/>
        <w:gridCol w:w="1417"/>
        <w:gridCol w:w="1418"/>
        <w:gridCol w:w="1417"/>
        <w:gridCol w:w="1426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№ п/п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Наименование услуг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Кол-во, шт.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Цена   за  (1шт./</w:t>
            </w:r>
            <w:r>
              <w:rPr>
                <w:bCs/>
              </w:rPr>
              <w:t xml:space="preserve">ед</w:t>
            </w:r>
            <w:r>
              <w:rPr>
                <w:bCs/>
              </w:rPr>
              <w:t xml:space="preserve"> ), руб. без НДС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Цена   за  (1шт./</w:t>
            </w:r>
            <w:r>
              <w:rPr>
                <w:bCs/>
              </w:rPr>
              <w:t xml:space="preserve">ед</w:t>
            </w:r>
            <w:r>
              <w:rPr>
                <w:bCs/>
              </w:rPr>
              <w:t xml:space="preserve"> ), руб. с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Стоимость              руб. без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</w:rPr>
            </w:pPr>
            <w:r>
              <w:rPr>
                <w:bCs/>
              </w:rPr>
              <w:t xml:space="preserve">Стоимость              руб. с НДС </w:t>
            </w:r>
            <w:r>
              <w:rPr>
                <w:bCs/>
              </w:rPr>
            </w:r>
            <w:r>
              <w:rPr>
                <w:bCs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textDirection w:val="lrTb"/>
            <w:noWrap w:val="false"/>
          </w:tcPr>
          <w:p>
            <w:pPr>
              <w:jc w:val="center"/>
            </w:pPr>
            <w:r>
              <w:t xml:space="preserve">7</w:t>
            </w:r>
            <w:r/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Проведение санитарно-эпидемиологических экспертиз (1час)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363,00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442,86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1089,00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1328,58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окисляемости </w:t>
            </w:r>
            <w:r>
              <w:rPr>
                <w:color w:val="000000"/>
              </w:rPr>
              <w:t xml:space="preserve">перманганатной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459,8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560,96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459,8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560,96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569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3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общей минерализации (сухой остаток)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327,8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399,92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983,4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1199,76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4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водородного показателя ( рН 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68,2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83,20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204,6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249,6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5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жесткости общей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272,8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332,82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818,4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998,46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6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Лабораторные исследования воды. Определение металлов методом атомной абсорбции, 1 исследование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657,8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802,52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4604,6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5617,64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7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  <w:t xml:space="preserve">Лабораторные исследования воды. Определение металлов методом </w:t>
            </w:r>
            <w:r>
              <w:rPr>
                <w:color w:val="000000"/>
              </w:rPr>
              <w:t xml:space="preserve">масс-спектрометрии</w:t>
            </w:r>
            <w:r>
              <w:rPr>
                <w:color w:val="000000"/>
              </w:rPr>
              <w:t xml:space="preserve">, 1 исследование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782,1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954,16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6256,8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7633,2</w:t>
            </w:r>
            <w:r>
              <w:rPr>
                <w:highlight w:val="white"/>
              </w:rPr>
              <w:t xml:space="preserve">8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8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Лабораторные исследования воды. Определение аммиака (по азоту)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381,7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465,67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1145,1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1397,02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9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карбонатов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199,1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242,9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597,3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728,7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10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щелочности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199,1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242,9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398,2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485,8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11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сульфатов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303,6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370,39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910,8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1111,17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12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хлоридов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303,6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370,39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910,8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1111,17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</w:pPr>
            <w:r>
              <w:t xml:space="preserve">13</w:t>
            </w:r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нитрат-иона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213,43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260,38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640,29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781,15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31" w:type="dxa"/>
            <w:vAlign w:val="center"/>
            <w:vMerge w:val="restart"/>
            <w:textDirection w:val="lrTb"/>
            <w:noWrap/>
          </w:tcPr>
          <w:p>
            <w:pPr>
              <w:jc w:val="center"/>
            </w:pPr>
            <w:r>
              <w:t xml:space="preserve">14</w:t>
            </w:r>
            <w:r/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3150" w:type="dxa"/>
            <w:vAlign w:val="center"/>
            <w:vMerge w:val="restart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Определение нитрит-иона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134" w:type="dxa"/>
            <w:vAlign w:val="center"/>
            <w:vMerge w:val="restart"/>
            <w:textDirection w:val="lrTb"/>
            <w:noWrap w:val="false"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259,6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single" w:color="000000" w:sz="8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vMerge w:val="restart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316,71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7" w:type="dxa"/>
            <w:vAlign w:val="center"/>
            <w:vMerge w:val="restart"/>
            <w:textDirection w:val="lrTb"/>
            <w:noWrap/>
          </w:tcPr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259,6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26" w:type="dxa"/>
            <w:vMerge w:val="restart"/>
            <w:textDirection w:val="lrTb"/>
            <w:noWrap w:val="false"/>
          </w:tcPr>
          <w:p>
            <w:pPr>
              <w:rPr>
                <w:highlight w:val="white"/>
                <w14:ligatures w14:val="none"/>
              </w:rPr>
            </w:pPr>
            <w:r>
              <w:rPr>
                <w:highlight w:val="white"/>
              </w:rPr>
              <w:t xml:space="preserve">316,71</w:t>
            </w:r>
            <w:r>
              <w:rPr>
                <w:highlight w:val="white"/>
                <w14:ligatures w14:val="none"/>
              </w:rPr>
            </w:r>
            <w:r>
              <w:rPr>
                <w:highlight w:val="white"/>
                <w14:ligatures w14:val="none"/>
              </w:rPr>
            </w:r>
          </w:p>
        </w:tc>
      </w:tr>
      <w:tr>
        <w:tblPrEx/>
        <w:trPr>
          <w:trHeight w:val="364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6232" w:type="dxa"/>
            <w:vAlign w:val="center"/>
            <w:textDirection w:val="lrTb"/>
            <w:noWrap/>
          </w:tcPr>
          <w:p>
            <w:pPr>
              <w:jc w:val="right"/>
              <w:rPr>
                <w:color w:val="000000"/>
              </w:rPr>
            </w:pPr>
            <w:r>
              <w:t xml:space="preserve">Стоимость закупки по оценке Заказчика: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19 278.69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23 520,0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>
          <w:trHeight w:val="364"/>
        </w:trPr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tcW w:w="6232" w:type="dxa"/>
            <w:vAlign w:val="center"/>
            <w:textDirection w:val="lrTb"/>
            <w:noWrap/>
          </w:tcPr>
          <w:p>
            <w:pPr>
              <w:jc w:val="right"/>
              <w:rPr>
                <w:color w:val="000000"/>
              </w:rPr>
            </w:pPr>
            <w:r>
              <w:t xml:space="preserve">Стоимость закупки по оценке Участника: 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6" w:type="dxa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bCs/>
              </w:rPr>
              <w:t xml:space="preserve">*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r/>
      <w:r/>
    </w:p>
    <w:p>
      <w:r/>
      <w:r/>
    </w:p>
    <w:p>
      <w:pPr>
        <w:pStyle w:val="963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rPr>
          <w:i/>
          <w:sz w:val="20"/>
        </w:rPr>
      </w:pPr>
      <w:r>
        <w:rPr>
          <w:i/>
          <w:sz w:val="20"/>
        </w:rPr>
        <w:t xml:space="preserve">* - столбцы заполняются Участником закупки</w:t>
      </w:r>
      <w:r>
        <w:rPr>
          <w:i/>
          <w:sz w:val="20"/>
        </w:rPr>
      </w:r>
      <w:r>
        <w:rPr>
          <w:i/>
          <w:sz w:val="20"/>
        </w:rPr>
      </w:r>
    </w:p>
    <w:p>
      <w:pPr>
        <w:pStyle w:val="963"/>
        <w:jc w:val="right"/>
      </w:pPr>
      <w:r/>
      <w:r/>
    </w:p>
    <w:p>
      <w:pPr>
        <w:pStyle w:val="951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jc w:val="center"/>
        <w:spacing w:line="276" w:lineRule="auto"/>
      </w:pPr>
      <w:r>
        <w:t xml:space="preserve">Технического задания на проведение </w:t>
      </w:r>
      <w:r>
        <w:t xml:space="preserve">сравнения цен </w:t>
      </w:r>
      <w:r>
        <w:t xml:space="preserve">в электронной форме</w:t>
      </w:r>
      <w:r>
        <w:t xml:space="preserve">, </w:t>
      </w:r>
      <w:r>
        <w:t xml:space="preserve">участниками которого могут быть </w:t>
      </w:r>
      <w:r>
        <w:t xml:space="preserve">любые лица</w:t>
      </w:r>
      <w:r>
        <w:t xml:space="preserve"> на право </w:t>
      </w:r>
      <w:r>
        <w:t xml:space="preserve">заключения договора на </w:t>
      </w:r>
      <w:r/>
    </w:p>
    <w:p>
      <w:pPr>
        <w:jc w:val="center"/>
        <w:spacing w:line="276" w:lineRule="auto"/>
      </w:pPr>
      <w:r>
        <w:t xml:space="preserve">оказание услуг по п</w:t>
      </w:r>
      <w:r>
        <w:t xml:space="preserve">роведени</w:t>
      </w:r>
      <w:r>
        <w:t xml:space="preserve">ю</w:t>
      </w:r>
      <w:r>
        <w:t xml:space="preserve"> исследований подземных вод из скважин технического водоснабжения </w:t>
      </w:r>
      <w:r>
        <w:t xml:space="preserve">П</w:t>
      </w:r>
      <w:r>
        <w:t xml:space="preserve">О ЗЭС</w:t>
      </w:r>
      <w:r>
        <w:t xml:space="preserve"> </w:t>
      </w:r>
      <w:r/>
    </w:p>
    <w:p>
      <w:pPr>
        <w:jc w:val="both"/>
        <w:tabs>
          <w:tab w:val="left" w:pos="0" w:leader="none"/>
          <w:tab w:val="left" w:pos="6220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Ведущий инженер по ООС </w:t>
            </w:r>
            <w:r>
              <w:t xml:space="preserve">УПБОТиПК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Т.А. Кугенева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562"/>
        <w:gridCol w:w="2694"/>
        <w:gridCol w:w="2126"/>
        <w:gridCol w:w="1418"/>
        <w:gridCol w:w="1276"/>
        <w:gridCol w:w="1275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2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главного инженера по ПБОТиПК- начальник </w:t>
            </w:r>
            <w:r>
              <w:rPr>
                <w:sz w:val="24"/>
                <w:szCs w:val="24"/>
              </w:rPr>
              <w:t xml:space="preserve">УПБ</w:t>
            </w:r>
            <w:r>
              <w:rPr>
                <w:sz w:val="24"/>
                <w:szCs w:val="24"/>
              </w:rPr>
              <w:t xml:space="preserve">ОТ</w:t>
            </w:r>
            <w:r>
              <w:rPr>
                <w:sz w:val="24"/>
                <w:szCs w:val="24"/>
              </w:rPr>
              <w:t xml:space="preserve">иПК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Губин Н.В.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/>
            <w:bookmarkStart w:id="16" w:name="_GoBack"/>
            <w:r>
              <w:rPr>
                <w:sz w:val="28"/>
                <w:szCs w:val="28"/>
              </w:rPr>
            </w:r>
            <w:bookmarkEnd w:id="16"/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5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563"/>
        <w:gridCol w:w="7344"/>
        <w:gridCol w:w="1459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Замечания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</w:t>
            </w:r>
            <w:r>
              <w:rPr>
                <w:b/>
                <w:sz w:val="20"/>
                <w:szCs w:val="20"/>
              </w:rPr>
              <w:t xml:space="preserve">ата устранения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51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erReference w:type="default" r:id="rId11"/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</w:font>
  <w:font w:name="Symbol">
    <w:panose1 w:val="05050102010706020507"/>
  </w:font>
  <w:font w:name="Arial Unicode MS">
    <w:panose1 w:val="020B0604020202020204"/>
  </w:font>
  <w:font w:name="Calibri">
    <w:panose1 w:val="020F0502020204030204"/>
  </w:font>
  <w:font w:name="MS Mincho">
    <w:panose1 w:val="020B060907020508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58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rPr>
        <w:rStyle w:val="960"/>
      </w:rPr>
      <w:framePr w:wrap="around" w:vAnchor="text" w:hAnchor="margin" w:xAlign="center" w:y="1"/>
    </w:pPr>
    <w:r>
      <w:rPr>
        <w:rStyle w:val="960"/>
      </w:rPr>
      <w:fldChar w:fldCharType="begin"/>
    </w:r>
    <w:r>
      <w:rPr>
        <w:rStyle w:val="960"/>
      </w:rPr>
      <w:instrText xml:space="preserve">PAGE  </w:instrText>
    </w:r>
    <w:r>
      <w:rPr>
        <w:rStyle w:val="960"/>
      </w:rPr>
      <w:fldChar w:fldCharType="end"/>
    </w:r>
    <w:r>
      <w:rPr>
        <w:rStyle w:val="960"/>
      </w:rPr>
    </w:r>
    <w:r>
      <w:rPr>
        <w:rStyle w:val="960"/>
      </w:rPr>
    </w:r>
  </w:p>
  <w:p>
    <w:pPr>
      <w:pStyle w:val="958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7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04"/>
        <w:jc w:val="both"/>
      </w:pPr>
      <w:r>
        <w:rPr>
          <w:rStyle w:val="1006"/>
        </w:rPr>
        <w:footnoteRef/>
      </w:r>
      <w:r>
        <w:t xml:space="preserve"> В</w:t>
      </w:r>
      <w:r>
        <w:t xml:space="preserve"> случае заключения договора по результатам закупки с субъектом малого и среднего предпринимательства максимальный срок оплаты должен составлять не более 7 (семи) рабочих дней.</w:t>
      </w:r>
      <w:r/>
    </w:p>
    <w:p>
      <w:pPr>
        <w:pStyle w:val="1004"/>
        <w:jc w:val="both"/>
      </w:pPr>
      <w:r>
        <w:t xml:space="preserve">  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95"/>
    <w:lvl w:ilvl="0">
      <w:start w:val="1"/>
      <w:numFmt w:val="decimal"/>
      <w:pStyle w:val="992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93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94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96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97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98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99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pStyle w:val="1009"/>
      <w:isLgl w:val="false"/>
      <w:suff w:val="tab"/>
      <w:lvlText w:val="%1.%2."/>
      <w:lvlJc w:val="left"/>
      <w:pPr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720" w:hanging="720"/>
        <w:tabs>
          <w:tab w:val="num" w:pos="7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  <w:tabs>
          <w:tab w:val="num" w:pos="108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80" w:hanging="1080"/>
        <w:tabs>
          <w:tab w:val="num" w:pos="108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  <w:tabs>
          <w:tab w:val="num" w:pos="1440" w:leader="none"/>
        </w:tabs>
      </w:pPr>
    </w:lvl>
  </w:abstractNum>
  <w:abstractNum w:abstractNumId="10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296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)"/>
      <w:lvlJc w:val="left"/>
      <w:pPr>
        <w:ind w:left="2361" w:hanging="705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73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5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7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9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1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3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56" w:hanging="180"/>
      </w:p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7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>
    <w:multiLevelType w:val="hybridMultilevel"/>
    <w:numStyleLink w:val="995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num w:numId="1">
    <w:abstractNumId w:val="13"/>
  </w:num>
  <w:num w:numId="2">
    <w:abstractNumId w:val="22"/>
  </w:num>
  <w:num w:numId="3">
    <w:abstractNumId w:val="10"/>
  </w:num>
  <w:num w:numId="4">
    <w:abstractNumId w:val="1"/>
  </w:num>
  <w:num w:numId="5">
    <w:abstractNumId w:val="7"/>
  </w:num>
  <w:num w:numId="6">
    <w:abstractNumId w:val="18"/>
  </w:num>
  <w:num w:numId="7">
    <w:abstractNumId w:val="24"/>
  </w:num>
  <w:num w:numId="8">
    <w:abstractNumId w:val="5"/>
  </w:num>
  <w:num w:numId="9">
    <w:abstractNumId w:val="2"/>
  </w:num>
  <w:num w:numId="10">
    <w:abstractNumId w:val="26"/>
  </w:num>
  <w:num w:numId="11">
    <w:abstractNumId w:val="20"/>
  </w:num>
  <w:num w:numId="12">
    <w:abstractNumId w:val="12"/>
  </w:num>
  <w:num w:numId="13">
    <w:abstractNumId w:val="14"/>
  </w:num>
  <w:num w:numId="14">
    <w:abstractNumId w:val="19"/>
  </w:num>
  <w:num w:numId="15">
    <w:abstractNumId w:val="3"/>
  </w:num>
  <w:num w:numId="16">
    <w:abstractNumId w:val="4"/>
  </w:num>
  <w:num w:numId="17">
    <w:abstractNumId w:val="6"/>
  </w:num>
  <w:num w:numId="18">
    <w:abstractNumId w:val="21"/>
  </w:num>
  <w:num w:numId="19">
    <w:abstractNumId w:val="0"/>
  </w:num>
  <w:num w:numId="20">
    <w:abstractNumId w:val="25"/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</w:num>
  <w:num w:numId="23">
    <w:abstractNumId w:val="8"/>
  </w:num>
  <w:num w:numId="24">
    <w:abstractNumId w:val="23"/>
    <w:lvlOverride w:ilvl="0">
      <w:lvl w:ilvl="0">
        <w:start w:val="1"/>
        <w:numFmt w:val="decimal"/>
        <w:pStyle w:val="99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93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94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96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97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98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99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23"/>
    <w:lvlOverride w:ilvl="0">
      <w:startOverride w:val="1"/>
      <w:lvl w:ilvl="0">
        <w:start w:val="1"/>
        <w:numFmt w:val="decimal"/>
        <w:pStyle w:val="992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993"/>
        <w:isLgl w:val="false"/>
        <w:suff w:val="tab"/>
        <w:lvlText w:val="%1.%2."/>
        <w:lvlJc w:val="left"/>
        <w:pPr>
          <w:ind w:left="0" w:firstLine="0"/>
        </w:pPr>
        <w:rPr>
          <w:rFonts w:hint="default"/>
        </w:rPr>
      </w:lvl>
    </w:lvlOverride>
  </w:num>
  <w:num w:numId="26">
    <w:abstractNumId w:val="2"/>
  </w:num>
  <w:num w:numId="27">
    <w:abstractNumId w:val="15"/>
  </w:num>
  <w:num w:numId="28">
    <w:abstractNumId w:val="23"/>
    <w:lvlOverride w:ilvl="0">
      <w:lvl w:ilvl="0">
        <w:start w:val="1"/>
        <w:numFmt w:val="decimal"/>
        <w:pStyle w:val="992"/>
        <w:isLgl w:val="false"/>
        <w:suff w:val="tab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pStyle w:val="993"/>
        <w:isLgl w:val="false"/>
        <w:suff w:val="tab"/>
        <w:lvlText w:val="%1.%2."/>
        <w:lvlJc w:val="left"/>
        <w:pPr>
          <w:ind w:left="0" w:firstLine="0"/>
        </w:pPr>
      </w:lvl>
    </w:lvlOverride>
    <w:lvlOverride w:ilvl="2">
      <w:lvl w:ilvl="2">
        <w:start w:val="1"/>
        <w:numFmt w:val="decimal"/>
        <w:pStyle w:val="994"/>
        <w:isLgl w:val="false"/>
        <w:suff w:val="tab"/>
        <w:lvlText w:val="%1.%2.%3."/>
        <w:lvlJc w:val="left"/>
        <w:pPr>
          <w:ind w:left="1135" w:hanging="567"/>
        </w:pPr>
      </w:lvl>
    </w:lvlOverride>
    <w:lvlOverride w:ilvl="3">
      <w:lvl w:ilvl="3">
        <w:start w:val="1"/>
        <w:numFmt w:val="decimal"/>
        <w:pStyle w:val="996"/>
        <w:isLgl w:val="false"/>
        <w:suff w:val="tab"/>
        <w:lvlText w:val="%1.%2.%3.%4."/>
        <w:lvlJc w:val="left"/>
        <w:pPr>
          <w:ind w:left="1816" w:hanging="681"/>
        </w:pPr>
      </w:lvl>
    </w:lvlOverride>
    <w:lvlOverride w:ilvl="4">
      <w:lvl w:ilvl="4">
        <w:start w:val="1"/>
        <w:numFmt w:val="decimal"/>
        <w:pStyle w:val="997"/>
        <w:isLgl w:val="false"/>
        <w:suff w:val="tab"/>
        <w:lvlText w:val="%1.%2.%3.%4.%5."/>
        <w:lvlJc w:val="left"/>
        <w:pPr>
          <w:ind w:left="1304" w:hanging="794"/>
        </w:pPr>
      </w:lvl>
    </w:lvlOverride>
    <w:lvlOverride w:ilvl="5">
      <w:lvl w:ilvl="5">
        <w:start w:val="1"/>
        <w:numFmt w:val="russianLower"/>
        <w:lvlRestart w:val="4"/>
        <w:pStyle w:val="998"/>
        <w:isLgl w:val="false"/>
        <w:suff w:val="tab"/>
        <w:lvlText w:val="%6)"/>
        <w:lvlJc w:val="left"/>
        <w:pPr>
          <w:ind w:left="340" w:hanging="340"/>
        </w:pPr>
      </w:lvl>
    </w:lvlOverride>
    <w:lvlOverride w:ilvl="6">
      <w:lvl w:ilvl="6">
        <w:start w:val="1"/>
        <w:numFmt w:val="decimal"/>
        <w:pStyle w:val="999"/>
        <w:isLgl w:val="false"/>
        <w:suff w:val="nothing"/>
        <w:lvlText w:val="Форма %7"/>
        <w:lvlJc w:val="right"/>
        <w:pPr>
          <w:ind w:left="14455" w:firstLine="288"/>
        </w:p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</w:lvl>
    </w:lvlOverride>
  </w:num>
  <w:num w:numId="29">
    <w:abstractNumId w:val="17"/>
  </w:num>
  <w:num w:numId="30">
    <w:abstractNumId w:val="16"/>
  </w:num>
  <w:num w:numId="31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</w:num>
  <w:num w:numId="33">
    <w:abstractNumId w:val="28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84">
    <w:name w:val="Heading 1"/>
    <w:basedOn w:val="949"/>
    <w:next w:val="949"/>
    <w:link w:val="78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85">
    <w:name w:val="Heading 1 Char"/>
    <w:basedOn w:val="953"/>
    <w:link w:val="784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786">
    <w:name w:val="Heading 2 Char"/>
    <w:basedOn w:val="953"/>
    <w:link w:val="950"/>
    <w:uiPriority w:val="9"/>
    <w:rPr>
      <w:rFonts w:ascii="Liberation Sans" w:hAnsi="Liberation Sans" w:eastAsia="Liberation Sans" w:cs="Liberation Sans"/>
      <w:sz w:val="34"/>
    </w:rPr>
  </w:style>
  <w:style w:type="paragraph" w:styleId="787">
    <w:name w:val="Heading 3"/>
    <w:basedOn w:val="949"/>
    <w:next w:val="949"/>
    <w:link w:val="788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88">
    <w:name w:val="Heading 3 Char"/>
    <w:basedOn w:val="953"/>
    <w:link w:val="787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89">
    <w:name w:val="Heading 4"/>
    <w:basedOn w:val="949"/>
    <w:next w:val="949"/>
    <w:link w:val="790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0">
    <w:name w:val="Heading 4 Char"/>
    <w:basedOn w:val="953"/>
    <w:link w:val="789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91">
    <w:name w:val="Heading 5 Char"/>
    <w:basedOn w:val="953"/>
    <w:link w:val="951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92">
    <w:name w:val="Heading 6"/>
    <w:basedOn w:val="949"/>
    <w:next w:val="949"/>
    <w:link w:val="793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3">
    <w:name w:val="Heading 6 Char"/>
    <w:basedOn w:val="953"/>
    <w:link w:val="792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94">
    <w:name w:val="Heading 7 Char"/>
    <w:basedOn w:val="953"/>
    <w:link w:val="952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95">
    <w:name w:val="Heading 8"/>
    <w:basedOn w:val="949"/>
    <w:next w:val="949"/>
    <w:link w:val="796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96">
    <w:name w:val="Heading 8 Char"/>
    <w:basedOn w:val="953"/>
    <w:link w:val="795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97">
    <w:name w:val="Heading 9"/>
    <w:basedOn w:val="949"/>
    <w:next w:val="949"/>
    <w:link w:val="798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8">
    <w:name w:val="Heading 9 Char"/>
    <w:basedOn w:val="953"/>
    <w:link w:val="797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99">
    <w:name w:val="Title Char"/>
    <w:basedOn w:val="953"/>
    <w:link w:val="979"/>
    <w:uiPriority w:val="10"/>
    <w:rPr>
      <w:sz w:val="48"/>
      <w:szCs w:val="48"/>
    </w:rPr>
  </w:style>
  <w:style w:type="paragraph" w:styleId="800">
    <w:name w:val="Subtitle"/>
    <w:basedOn w:val="949"/>
    <w:next w:val="949"/>
    <w:link w:val="801"/>
    <w:uiPriority w:val="11"/>
    <w:qFormat/>
    <w:pPr>
      <w:spacing w:before="200" w:after="200"/>
    </w:pPr>
    <w:rPr>
      <w:sz w:val="24"/>
      <w:szCs w:val="24"/>
    </w:rPr>
  </w:style>
  <w:style w:type="character" w:styleId="801">
    <w:name w:val="Subtitle Char"/>
    <w:basedOn w:val="953"/>
    <w:link w:val="800"/>
    <w:uiPriority w:val="11"/>
    <w:rPr>
      <w:sz w:val="24"/>
      <w:szCs w:val="24"/>
    </w:rPr>
  </w:style>
  <w:style w:type="paragraph" w:styleId="802">
    <w:name w:val="Quote"/>
    <w:basedOn w:val="949"/>
    <w:next w:val="949"/>
    <w:link w:val="803"/>
    <w:uiPriority w:val="29"/>
    <w:qFormat/>
    <w:pPr>
      <w:ind w:left="720" w:right="720"/>
    </w:pPr>
    <w:rPr>
      <w:i/>
    </w:rPr>
  </w:style>
  <w:style w:type="character" w:styleId="803">
    <w:name w:val="Quote Char"/>
    <w:link w:val="802"/>
    <w:uiPriority w:val="29"/>
    <w:rPr>
      <w:i/>
    </w:rPr>
  </w:style>
  <w:style w:type="paragraph" w:styleId="804">
    <w:name w:val="Intense Quote"/>
    <w:basedOn w:val="949"/>
    <w:next w:val="949"/>
    <w:link w:val="8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5">
    <w:name w:val="Intense Quote Char"/>
    <w:link w:val="804"/>
    <w:uiPriority w:val="30"/>
    <w:rPr>
      <w:i/>
    </w:rPr>
  </w:style>
  <w:style w:type="character" w:styleId="806">
    <w:name w:val="Header Char"/>
    <w:basedOn w:val="953"/>
    <w:link w:val="961"/>
    <w:uiPriority w:val="99"/>
  </w:style>
  <w:style w:type="character" w:styleId="807">
    <w:name w:val="Footer Char"/>
    <w:basedOn w:val="953"/>
    <w:link w:val="958"/>
    <w:uiPriority w:val="99"/>
  </w:style>
  <w:style w:type="character" w:styleId="808">
    <w:name w:val="Caption Char"/>
    <w:basedOn w:val="953"/>
    <w:link w:val="968"/>
    <w:uiPriority w:val="35"/>
    <w:rPr>
      <w:b/>
      <w:bCs/>
      <w:color w:val="4f81bd" w:themeColor="accent1"/>
      <w:sz w:val="18"/>
      <w:szCs w:val="18"/>
    </w:rPr>
  </w:style>
  <w:style w:type="table" w:styleId="809">
    <w:name w:val="Table Grid"/>
    <w:basedOn w:val="95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>
    <w:name w:val="Table Grid Light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>
    <w:name w:val="Plain Table 1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2">
    <w:name w:val="Plain Table 2"/>
    <w:basedOn w:val="95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13">
    <w:name w:val="Plain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4">
    <w:name w:val="Plain Table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Plain Table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6">
    <w:name w:val="Grid Table 1 Light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Grid Table 1 Light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2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4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8">
    <w:name w:val="Grid Table 4 - Accent 1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39">
    <w:name w:val="Grid Table 4 - Accent 2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Grid Table 4 - Accent 3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1">
    <w:name w:val="Grid Table 4 - Accent 4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Grid Table 4 - Accent 5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3">
    <w:name w:val="Grid Table 4 - Accent 6"/>
    <w:basedOn w:val="95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4">
    <w:name w:val="Grid Table 5 Dark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5">
    <w:name w:val="Grid Table 5 Dark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6">
    <w:name w:val="Grid Table 5 Dark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48">
    <w:name w:val="Grid Table 5 Dark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49">
    <w:name w:val="Grid Table 5 Dark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51">
    <w:name w:val="Grid Table 6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52">
    <w:name w:val="Grid Table 6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53">
    <w:name w:val="Grid Table 6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54">
    <w:name w:val="Grid Table 6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55">
    <w:name w:val="Grid Table 6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56">
    <w:name w:val="Grid Table 6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7">
    <w:name w:val="Grid Table 6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58">
    <w:name w:val="Grid Table 7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7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List Table 1 Light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3">
    <w:name w:val="List Table 2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4">
    <w:name w:val="List Table 2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5">
    <w:name w:val="List Table 2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6">
    <w:name w:val="List Table 2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7">
    <w:name w:val="List Table 2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8">
    <w:name w:val="List Table 2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79">
    <w:name w:val="List Table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>
    <w:name w:val="List Table 3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5 Dark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4">
    <w:name w:val="List Table 5 Dark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5">
    <w:name w:val="List Table 5 Dark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6">
    <w:name w:val="List Table 5 Dark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7">
    <w:name w:val="List Table 5 Dark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8">
    <w:name w:val="List Table 5 Dark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99">
    <w:name w:val="List Table 5 Dark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900">
    <w:name w:val="List Table 6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1">
    <w:name w:val="List Table 6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2">
    <w:name w:val="List Table 6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3">
    <w:name w:val="List Table 6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4">
    <w:name w:val="List Table 6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5">
    <w:name w:val="List Table 6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6">
    <w:name w:val="List Table 6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7">
    <w:name w:val="List Table 7 Colorful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908">
    <w:name w:val="List Table 7 Colorful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909">
    <w:name w:val="List Table 7 Colorful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910">
    <w:name w:val="List Table 7 Colorful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911">
    <w:name w:val="List Table 7 Colorful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912">
    <w:name w:val="List Table 7 Colorful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913">
    <w:name w:val="List Table 7 Colorful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914">
    <w:name w:val="Lined - Accent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5">
    <w:name w:val="Lined - Accent 1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16">
    <w:name w:val="Lined - Accent 2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17">
    <w:name w:val="Lined - Accent 3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18">
    <w:name w:val="Lined - Accent 4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19">
    <w:name w:val="Lined - Accent 5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0">
    <w:name w:val="Lined - Accent 6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1">
    <w:name w:val="Bordered &amp; Lined - Accent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2">
    <w:name w:val="Bordered &amp; Lined - Accent 1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23">
    <w:name w:val="Bordered &amp; Lined - Accent 2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24">
    <w:name w:val="Bordered &amp; Lined - Accent 3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25">
    <w:name w:val="Bordered &amp; Lined - Accent 4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26">
    <w:name w:val="Bordered &amp; Lined - Accent 5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27">
    <w:name w:val="Bordered &amp; Lined - Accent 6"/>
    <w:basedOn w:val="95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28">
    <w:name w:val="Bordered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29">
    <w:name w:val="Bordered - Accent 1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0">
    <w:name w:val="Bordered - Accent 2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1">
    <w:name w:val="Bordered - Accent 3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2">
    <w:name w:val="Bordered - Accent 4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3">
    <w:name w:val="Bordered - Accent 5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4">
    <w:name w:val="Bordered - Accent 6"/>
    <w:basedOn w:val="95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5">
    <w:name w:val="Footnote Text Char"/>
    <w:link w:val="1004"/>
    <w:uiPriority w:val="99"/>
    <w:rPr>
      <w:sz w:val="18"/>
    </w:rPr>
  </w:style>
  <w:style w:type="paragraph" w:styleId="936">
    <w:name w:val="endnote text"/>
    <w:basedOn w:val="949"/>
    <w:link w:val="937"/>
    <w:uiPriority w:val="99"/>
    <w:semiHidden/>
    <w:unhideWhenUsed/>
    <w:pPr>
      <w:spacing w:after="0" w:line="240" w:lineRule="auto"/>
    </w:pPr>
    <w:rPr>
      <w:sz w:val="20"/>
    </w:rPr>
  </w:style>
  <w:style w:type="character" w:styleId="937">
    <w:name w:val="Endnote Text Char"/>
    <w:link w:val="936"/>
    <w:uiPriority w:val="99"/>
    <w:rPr>
      <w:sz w:val="20"/>
    </w:rPr>
  </w:style>
  <w:style w:type="character" w:styleId="938">
    <w:name w:val="endnote reference"/>
    <w:basedOn w:val="953"/>
    <w:uiPriority w:val="99"/>
    <w:semiHidden/>
    <w:unhideWhenUsed/>
    <w:rPr>
      <w:vertAlign w:val="superscript"/>
    </w:rPr>
  </w:style>
  <w:style w:type="paragraph" w:styleId="939">
    <w:name w:val="toc 1"/>
    <w:basedOn w:val="949"/>
    <w:next w:val="949"/>
    <w:uiPriority w:val="39"/>
    <w:unhideWhenUsed/>
    <w:pPr>
      <w:ind w:left="0" w:right="0" w:firstLine="0"/>
      <w:spacing w:after="57"/>
    </w:pPr>
  </w:style>
  <w:style w:type="paragraph" w:styleId="940">
    <w:name w:val="toc 2"/>
    <w:basedOn w:val="949"/>
    <w:next w:val="949"/>
    <w:uiPriority w:val="39"/>
    <w:unhideWhenUsed/>
    <w:pPr>
      <w:ind w:left="283" w:right="0" w:firstLine="0"/>
      <w:spacing w:after="57"/>
    </w:pPr>
  </w:style>
  <w:style w:type="paragraph" w:styleId="941">
    <w:name w:val="toc 3"/>
    <w:basedOn w:val="949"/>
    <w:next w:val="949"/>
    <w:uiPriority w:val="39"/>
    <w:unhideWhenUsed/>
    <w:pPr>
      <w:ind w:left="567" w:right="0" w:firstLine="0"/>
      <w:spacing w:after="57"/>
    </w:pPr>
  </w:style>
  <w:style w:type="paragraph" w:styleId="942">
    <w:name w:val="toc 4"/>
    <w:basedOn w:val="949"/>
    <w:next w:val="949"/>
    <w:uiPriority w:val="39"/>
    <w:unhideWhenUsed/>
    <w:pPr>
      <w:ind w:left="850" w:right="0" w:firstLine="0"/>
      <w:spacing w:after="57"/>
    </w:pPr>
  </w:style>
  <w:style w:type="paragraph" w:styleId="943">
    <w:name w:val="toc 5"/>
    <w:basedOn w:val="949"/>
    <w:next w:val="949"/>
    <w:uiPriority w:val="39"/>
    <w:unhideWhenUsed/>
    <w:pPr>
      <w:ind w:left="1134" w:right="0" w:firstLine="0"/>
      <w:spacing w:after="57"/>
    </w:pPr>
  </w:style>
  <w:style w:type="paragraph" w:styleId="944">
    <w:name w:val="toc 7"/>
    <w:basedOn w:val="949"/>
    <w:next w:val="949"/>
    <w:uiPriority w:val="39"/>
    <w:unhideWhenUsed/>
    <w:pPr>
      <w:ind w:left="1701" w:right="0" w:firstLine="0"/>
      <w:spacing w:after="57"/>
    </w:pPr>
  </w:style>
  <w:style w:type="paragraph" w:styleId="945">
    <w:name w:val="toc 8"/>
    <w:basedOn w:val="949"/>
    <w:next w:val="949"/>
    <w:uiPriority w:val="39"/>
    <w:unhideWhenUsed/>
    <w:pPr>
      <w:ind w:left="1984" w:right="0" w:firstLine="0"/>
      <w:spacing w:after="57"/>
    </w:pPr>
  </w:style>
  <w:style w:type="paragraph" w:styleId="946">
    <w:name w:val="toc 9"/>
    <w:basedOn w:val="949"/>
    <w:next w:val="949"/>
    <w:uiPriority w:val="39"/>
    <w:unhideWhenUsed/>
    <w:pPr>
      <w:ind w:left="2268" w:right="0" w:firstLine="0"/>
      <w:spacing w:after="57"/>
    </w:pPr>
  </w:style>
  <w:style w:type="paragraph" w:styleId="947">
    <w:name w:val="TOC Heading"/>
    <w:uiPriority w:val="39"/>
    <w:unhideWhenUsed/>
  </w:style>
  <w:style w:type="paragraph" w:styleId="948">
    <w:name w:val="table of figures"/>
    <w:basedOn w:val="949"/>
    <w:next w:val="949"/>
    <w:uiPriority w:val="99"/>
    <w:unhideWhenUsed/>
    <w:pPr>
      <w:spacing w:after="0" w:afterAutospacing="0"/>
    </w:pPr>
  </w:style>
  <w:style w:type="paragraph" w:styleId="949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Heading 2"/>
    <w:basedOn w:val="949"/>
    <w:next w:val="949"/>
    <w:link w:val="984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51">
    <w:name w:val="Heading 5"/>
    <w:basedOn w:val="949"/>
    <w:next w:val="949"/>
    <w:link w:val="956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52">
    <w:name w:val="Heading 7"/>
    <w:basedOn w:val="949"/>
    <w:next w:val="949"/>
    <w:link w:val="957"/>
    <w:qFormat/>
    <w:pPr>
      <w:spacing w:before="240" w:after="60"/>
      <w:outlineLvl w:val="6"/>
    </w:pPr>
    <w:rPr>
      <w:rFonts w:eastAsia="SimSun"/>
    </w:rPr>
  </w:style>
  <w:style w:type="character" w:styleId="953" w:default="1">
    <w:name w:val="Default Paragraph Font"/>
    <w:uiPriority w:val="1"/>
    <w:semiHidden/>
    <w:unhideWhenUsed/>
  </w:style>
  <w:style w:type="table" w:styleId="95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5" w:default="1">
    <w:name w:val="No List"/>
    <w:uiPriority w:val="99"/>
    <w:semiHidden/>
    <w:unhideWhenUsed/>
  </w:style>
  <w:style w:type="character" w:styleId="956" w:customStyle="1">
    <w:name w:val="Заголовок 5 Знак"/>
    <w:basedOn w:val="953"/>
    <w:link w:val="951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57" w:customStyle="1">
    <w:name w:val="Заголовок 7 Знак"/>
    <w:basedOn w:val="953"/>
    <w:link w:val="952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58">
    <w:name w:val="Footer"/>
    <w:basedOn w:val="949"/>
    <w:link w:val="959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59" w:customStyle="1">
    <w:name w:val="Нижний колонтитул Знак"/>
    <w:basedOn w:val="953"/>
    <w:link w:val="958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60">
    <w:name w:val="page number"/>
    <w:basedOn w:val="953"/>
  </w:style>
  <w:style w:type="paragraph" w:styleId="961">
    <w:name w:val="Header"/>
    <w:basedOn w:val="949"/>
    <w:link w:val="96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62" w:customStyle="1">
    <w:name w:val="Верхний колонтитул Знак"/>
    <w:basedOn w:val="953"/>
    <w:link w:val="961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3">
    <w:name w:val="No Spacing"/>
    <w:link w:val="100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4">
    <w:name w:val="List Paragraph"/>
    <w:basedOn w:val="949"/>
    <w:link w:val="991"/>
    <w:uiPriority w:val="34"/>
    <w:qFormat/>
    <w:pPr>
      <w:contextualSpacing/>
      <w:ind w:left="720"/>
    </w:pPr>
  </w:style>
  <w:style w:type="paragraph" w:styleId="965">
    <w:name w:val="Balloon Text"/>
    <w:basedOn w:val="949"/>
    <w:link w:val="966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66" w:customStyle="1">
    <w:name w:val="Текст выноски Знак"/>
    <w:basedOn w:val="953"/>
    <w:link w:val="965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67">
    <w:name w:val="Hyperlink"/>
    <w:uiPriority w:val="99"/>
    <w:rPr>
      <w:color w:val="0000ff"/>
      <w:u w:val="single"/>
    </w:rPr>
  </w:style>
  <w:style w:type="paragraph" w:styleId="968">
    <w:name w:val="Caption"/>
    <w:basedOn w:val="949"/>
    <w:next w:val="949"/>
    <w:link w:val="808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69">
    <w:name w:val="FollowedHyperlink"/>
    <w:basedOn w:val="953"/>
    <w:uiPriority w:val="99"/>
    <w:semiHidden/>
    <w:unhideWhenUsed/>
    <w:rPr>
      <w:color w:val="954f72" w:themeColor="followedHyperlink"/>
      <w:u w:val="single"/>
    </w:rPr>
  </w:style>
  <w:style w:type="paragraph" w:styleId="970">
    <w:name w:val="Body Text Indent"/>
    <w:basedOn w:val="949"/>
    <w:link w:val="971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71" w:customStyle="1">
    <w:name w:val="Основной текст с отступом Знак"/>
    <w:basedOn w:val="953"/>
    <w:link w:val="970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72" w:customStyle="1">
    <w:name w:val="Подпункт"/>
    <w:basedOn w:val="949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73" w:customStyle="1">
    <w:name w:val="Таблица шапка"/>
    <w:basedOn w:val="949"/>
    <w:pPr>
      <w:ind w:left="57" w:right="57"/>
      <w:keepNext/>
      <w:spacing w:before="40" w:after="40"/>
    </w:pPr>
    <w:rPr>
      <w:sz w:val="22"/>
      <w:szCs w:val="20"/>
    </w:rPr>
  </w:style>
  <w:style w:type="paragraph" w:styleId="974" w:customStyle="1">
    <w:name w:val="Таблица текст"/>
    <w:basedOn w:val="949"/>
    <w:pPr>
      <w:ind w:left="57" w:right="57"/>
      <w:spacing w:before="40" w:after="40"/>
    </w:pPr>
    <w:rPr>
      <w:szCs w:val="20"/>
    </w:rPr>
  </w:style>
  <w:style w:type="paragraph" w:styleId="975" w:customStyle="1">
    <w:name w:val="Times 12"/>
    <w:basedOn w:val="949"/>
    <w:pPr>
      <w:ind w:firstLine="567"/>
      <w:jc w:val="both"/>
    </w:pPr>
    <w:rPr>
      <w:szCs w:val="20"/>
      <w:lang w:eastAsia="ar-SA"/>
    </w:rPr>
  </w:style>
  <w:style w:type="paragraph" w:styleId="976" w:customStyle="1">
    <w:name w:val="StGen0"/>
    <w:basedOn w:val="949"/>
    <w:next w:val="979"/>
    <w:link w:val="977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77" w:customStyle="1">
    <w:name w:val="Название Знак"/>
    <w:link w:val="976"/>
    <w:rPr>
      <w:rFonts w:eastAsia="MS Mincho"/>
      <w:b/>
      <w:sz w:val="28"/>
      <w:lang w:val="ru-RU" w:eastAsia="ru-RU" w:bidi="ar-SA"/>
    </w:rPr>
  </w:style>
  <w:style w:type="paragraph" w:styleId="978" w:customStyle="1">
    <w:name w:val="Пункт б/н"/>
    <w:basedOn w:val="949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79">
    <w:name w:val="Title"/>
    <w:basedOn w:val="949"/>
    <w:next w:val="949"/>
    <w:link w:val="980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80" w:customStyle="1">
    <w:name w:val="Заголовок Знак"/>
    <w:basedOn w:val="953"/>
    <w:link w:val="979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81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82" w:customStyle="1">
    <w:name w:val="Абзац списка1"/>
    <w:basedOn w:val="949"/>
    <w:link w:val="983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83" w:customStyle="1">
    <w:name w:val="List Paragraph Char"/>
    <w:link w:val="982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84" w:customStyle="1">
    <w:name w:val="Заголовок 2 Знак"/>
    <w:basedOn w:val="953"/>
    <w:link w:val="950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85" w:customStyle="1">
    <w:name w:val="StGen1"/>
    <w:basedOn w:val="949"/>
    <w:next w:val="979"/>
    <w:qFormat/>
    <w:pPr>
      <w:jc w:val="center"/>
    </w:pPr>
    <w:rPr>
      <w:b/>
      <w:sz w:val="28"/>
      <w:szCs w:val="20"/>
    </w:rPr>
  </w:style>
  <w:style w:type="character" w:styleId="986">
    <w:name w:val="annotation reference"/>
    <w:basedOn w:val="953"/>
    <w:uiPriority w:val="99"/>
    <w:unhideWhenUsed/>
    <w:rPr>
      <w:sz w:val="16"/>
      <w:szCs w:val="16"/>
    </w:rPr>
  </w:style>
  <w:style w:type="paragraph" w:styleId="987">
    <w:name w:val="annotation text"/>
    <w:basedOn w:val="949"/>
    <w:link w:val="988"/>
    <w:uiPriority w:val="99"/>
    <w:unhideWhenUsed/>
    <w:rPr>
      <w:sz w:val="20"/>
      <w:szCs w:val="20"/>
    </w:rPr>
  </w:style>
  <w:style w:type="character" w:styleId="988" w:customStyle="1">
    <w:name w:val="Текст примечания Знак"/>
    <w:basedOn w:val="953"/>
    <w:link w:val="987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9">
    <w:name w:val="annotation subject"/>
    <w:basedOn w:val="987"/>
    <w:next w:val="987"/>
    <w:link w:val="990"/>
    <w:uiPriority w:val="99"/>
    <w:semiHidden/>
    <w:unhideWhenUsed/>
    <w:rPr>
      <w:b/>
      <w:bCs/>
    </w:rPr>
  </w:style>
  <w:style w:type="character" w:styleId="990" w:customStyle="1">
    <w:name w:val="Тема примечания Знак"/>
    <w:basedOn w:val="988"/>
    <w:link w:val="989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991" w:customStyle="1">
    <w:name w:val="Абзац списка Знак"/>
    <w:basedOn w:val="953"/>
    <w:link w:val="964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2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93" w:customStyle="1">
    <w:name w:val="2-з"/>
    <w:basedOn w:val="949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94" w:customStyle="1">
    <w:name w:val="3-з"/>
    <w:link w:val="1000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95" w:customStyle="1">
    <w:name w:val="нумерация"/>
    <w:uiPriority w:val="99"/>
    <w:pPr>
      <w:numPr>
        <w:ilvl w:val="0"/>
        <w:numId w:val="23"/>
      </w:numPr>
    </w:pPr>
  </w:style>
  <w:style w:type="paragraph" w:styleId="996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97" w:customStyle="1">
    <w:name w:val="5-з"/>
    <w:basedOn w:val="949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98" w:customStyle="1">
    <w:name w:val="6-буквы"/>
    <w:basedOn w:val="949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99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1000" w:customStyle="1">
    <w:name w:val="3-з Знак"/>
    <w:basedOn w:val="953"/>
    <w:link w:val="994"/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1001" w:customStyle="1">
    <w:name w:val="Без интервала Знак"/>
    <w:link w:val="963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2">
    <w:name w:val="toc 6"/>
    <w:basedOn w:val="949"/>
    <w:next w:val="949"/>
    <w:uiPriority w:val="99"/>
    <w:semiHidden/>
    <w:pPr>
      <w:ind w:left="1400" w:firstLine="567"/>
      <w:spacing w:line="360" w:lineRule="auto"/>
    </w:pPr>
    <w:rPr>
      <w:sz w:val="18"/>
      <w:szCs w:val="18"/>
    </w:rPr>
  </w:style>
  <w:style w:type="paragraph" w:styleId="100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1004">
    <w:name w:val="footnote text"/>
    <w:basedOn w:val="949"/>
    <w:link w:val="1005"/>
    <w:unhideWhenUsed/>
    <w:rPr>
      <w:sz w:val="20"/>
      <w:szCs w:val="20"/>
    </w:rPr>
  </w:style>
  <w:style w:type="character" w:styleId="1005" w:customStyle="1">
    <w:name w:val="Текст сноски Знак"/>
    <w:basedOn w:val="953"/>
    <w:link w:val="1004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06">
    <w:name w:val="footnote reference"/>
    <w:basedOn w:val="953"/>
    <w:uiPriority w:val="99"/>
    <w:unhideWhenUsed/>
    <w:rPr>
      <w:vertAlign w:val="superscript"/>
    </w:rPr>
  </w:style>
  <w:style w:type="paragraph" w:styleId="1007">
    <w:name w:val="Body Text Indent 3"/>
    <w:basedOn w:val="949"/>
    <w:link w:val="1008"/>
    <w:uiPriority w:val="99"/>
    <w:pPr>
      <w:ind w:left="283"/>
      <w:spacing w:after="120"/>
    </w:pPr>
    <w:rPr>
      <w:sz w:val="16"/>
      <w:szCs w:val="16"/>
    </w:rPr>
  </w:style>
  <w:style w:type="character" w:styleId="1008" w:customStyle="1">
    <w:name w:val="Основной текст с отступом 3 Знак"/>
    <w:basedOn w:val="953"/>
    <w:link w:val="1007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9">
    <w:name w:val="Normal (Web)"/>
    <w:basedOn w:val="949"/>
    <w:pPr>
      <w:numPr>
        <w:ilvl w:val="1"/>
        <w:numId w:val="31"/>
      </w:numPr>
      <w:spacing w:before="100" w:beforeAutospacing="1" w:after="100" w:afterAutospacing="1"/>
    </w:pPr>
    <w:rPr>
      <w:rFonts w:eastAsia="Arial Unicode MS"/>
      <w:color w:val="000000"/>
      <w:sz w:val="1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42771-59E0-4D14-977E-58043D2F3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Kugeneva-TA</cp:lastModifiedBy>
  <cp:revision>49</cp:revision>
  <dcterms:created xsi:type="dcterms:W3CDTF">2024-03-05T07:13:00Z</dcterms:created>
  <dcterms:modified xsi:type="dcterms:W3CDTF">2026-07-30T03:26:35Z</dcterms:modified>
</cp:coreProperties>
</file>